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0"/>
        <w:ind w:hanging="0" w:left="0" w:right="0"/>
        <w:jc w:val="center"/>
        <w:rPr>
          <w:rFonts w:ascii="Verdana" w:hAnsi="Verdana" w:cs="Verdana"/>
          <w:b/>
          <w:sz w:val="20"/>
          <w:szCs w:val="20"/>
        </w:rPr>
      </w:pPr>
      <w:r>
        <w:rPr>
          <w:rFonts w:cs="Verdana" w:ascii="Verdana" w:hAnsi="Verdana"/>
          <w:b/>
          <w:sz w:val="20"/>
          <w:szCs w:val="20"/>
        </w:rPr>
        <w:t>ANEXO III</w:t>
      </w:r>
    </w:p>
    <w:tbl>
      <w:tblPr>
        <w:tblW w:w="9127" w:type="dxa"/>
        <w:jc w:val="left"/>
        <w:tblInd w:w="0" w:type="dxa"/>
        <w:tblLayout w:type="fixed"/>
        <w:tblCellMar>
          <w:top w:w="0" w:type="dxa"/>
          <w:left w:w="70" w:type="dxa"/>
          <w:bottom w:w="0" w:type="dxa"/>
          <w:right w:w="70" w:type="dxa"/>
        </w:tblCellMar>
      </w:tblPr>
      <w:tblGrid>
        <w:gridCol w:w="3060"/>
        <w:gridCol w:w="6067"/>
      </w:tblGrid>
      <w:tr>
        <w:trPr>
          <w:trHeight w:val="285" w:hRule="atLeast"/>
        </w:trPr>
        <w:tc>
          <w:tcPr>
            <w:tcW w:w="3060" w:type="dxa"/>
            <w:tcBorders/>
          </w:tcPr>
          <w:p>
            <w:pPr>
              <w:pStyle w:val="Normal"/>
              <w:widowControl w:val="false"/>
              <w:snapToGrid w:val="false"/>
              <w:spacing w:lineRule="auto" w:line="276" w:before="0" w:after="0"/>
              <w:ind w:hanging="0" w:left="0" w:right="0"/>
              <w:rPr>
                <w:rFonts w:ascii="Verdana" w:hAnsi="Verdana" w:cs="Verdana"/>
                <w:b/>
                <w:sz w:val="20"/>
                <w:szCs w:val="20"/>
              </w:rPr>
            </w:pPr>
            <w:r>
              <w:rPr>
                <w:rFonts w:cs="Verdana" w:ascii="Verdana" w:hAnsi="Verdana"/>
                <w:b/>
                <w:sz w:val="20"/>
                <w:szCs w:val="20"/>
              </w:rPr>
            </w:r>
          </w:p>
        </w:tc>
        <w:tc>
          <w:tcPr>
            <w:tcW w:w="6067" w:type="dxa"/>
            <w:tcBorders/>
          </w:tcPr>
          <w:p>
            <w:pPr>
              <w:pStyle w:val="Normal"/>
              <w:widowControl w:val="false"/>
              <w:spacing w:lineRule="auto" w:line="276" w:before="0" w:after="0"/>
              <w:ind w:hanging="0" w:left="0" w:right="0"/>
              <w:jc w:val="right"/>
              <w:rPr>
                <w:rFonts w:ascii="Verdana" w:hAnsi="Verdana" w:cs="Verdana"/>
                <w:b/>
                <w:sz w:val="20"/>
                <w:szCs w:val="20"/>
              </w:rPr>
            </w:pPr>
            <w:r>
              <w:rPr/>
            </w:r>
          </w:p>
          <w:p>
            <w:pPr>
              <w:pStyle w:val="Normal"/>
              <w:widowControl w:val="false"/>
              <w:spacing w:lineRule="auto" w:line="276" w:before="0" w:after="0"/>
              <w:ind w:hanging="0" w:left="0" w:right="0"/>
              <w:jc w:val="right"/>
              <w:rPr>
                <w:rFonts w:ascii="Verdana" w:hAnsi="Verdana" w:cs="Verdana"/>
                <w:b/>
                <w:sz w:val="20"/>
                <w:szCs w:val="20"/>
              </w:rPr>
            </w:pPr>
            <w:r>
              <w:rPr>
                <w:rFonts w:cs="Verdana" w:ascii="Verdana" w:hAnsi="Verdana"/>
                <w:b/>
                <w:sz w:val="20"/>
                <w:szCs w:val="20"/>
              </w:rPr>
              <w:t>MINUTA DE CONTRATO  Nº _____.</w:t>
            </w:r>
          </w:p>
        </w:tc>
      </w:tr>
    </w:tbl>
    <w:p>
      <w:pPr>
        <w:pStyle w:val="Normal"/>
        <w:spacing w:lineRule="auto" w:line="276" w:before="0" w:after="0"/>
        <w:ind w:hanging="0" w:left="0" w:right="0"/>
        <w:jc w:val="both"/>
        <w:rPr>
          <w:rFonts w:ascii="Verdana" w:hAnsi="Verdana" w:cs="Verdana"/>
          <w:sz w:val="20"/>
          <w:szCs w:val="20"/>
        </w:rPr>
      </w:pPr>
      <w:r>
        <w:rPr>
          <w:rFonts w:cs="Verdana" w:ascii="Verdana" w:hAnsi="Verdana"/>
          <w:sz w:val="20"/>
          <w:szCs w:val="20"/>
        </w:rPr>
      </w:r>
    </w:p>
    <w:p>
      <w:pPr>
        <w:pStyle w:val="Normal"/>
        <w:spacing w:lineRule="auto" w:line="276" w:before="0" w:after="0"/>
        <w:ind w:hanging="0" w:left="0" w:right="0"/>
        <w:jc w:val="both"/>
        <w:rPr>
          <w:rFonts w:ascii="Verdana" w:hAnsi="Verdana" w:cs="Verdana"/>
          <w:b/>
          <w:sz w:val="20"/>
          <w:szCs w:val="20"/>
          <w:u w:val="single"/>
        </w:rPr>
      </w:pPr>
      <w:r>
        <w:rPr>
          <w:rFonts w:cs="Verdana" w:ascii="Verdana" w:hAnsi="Verdana"/>
          <w:b/>
          <w:sz w:val="20"/>
          <w:szCs w:val="20"/>
          <w:u w:val="single"/>
        </w:rPr>
        <w:t>PREÂMBULO</w:t>
      </w:r>
    </w:p>
    <w:p>
      <w:pPr>
        <w:pStyle w:val="Normal"/>
        <w:spacing w:lineRule="auto" w:line="276" w:before="0" w:after="0"/>
        <w:ind w:hanging="0" w:left="0" w:right="0"/>
        <w:jc w:val="both"/>
        <w:rPr/>
      </w:pPr>
      <w:r>
        <w:rPr>
          <w:rFonts w:cs="Verdana" w:ascii="Verdana" w:hAnsi="Verdana"/>
          <w:b/>
          <w:sz w:val="20"/>
          <w:szCs w:val="20"/>
        </w:rPr>
        <w:t>a) CONTRATANTES</w:t>
      </w:r>
      <w:r>
        <w:rPr>
          <w:rFonts w:cs="Verdana" w:ascii="Verdana" w:hAnsi="Verdana"/>
          <w:sz w:val="20"/>
          <w:szCs w:val="20"/>
        </w:rPr>
        <w:t>: O Município de São Gabriel da Palha, com sua sede na Praça Vicente Glazar, nº 159, nesta cidade, inscrito no CNPJ sob o Nº 27.174.143/0001-76, a seguir denominado simplesmente CONTRATANTE e a empresa ____________________, estabelecida à _________________ doravante denominada simplesmente CONTRATADA.</w:t>
      </w:r>
    </w:p>
    <w:p>
      <w:pPr>
        <w:pStyle w:val="Normal"/>
        <w:tabs>
          <w:tab w:val="clear" w:pos="708"/>
          <w:tab w:val="left" w:pos="0" w:leader="none"/>
        </w:tabs>
        <w:spacing w:lineRule="auto" w:line="276" w:before="0" w:after="0"/>
        <w:ind w:hanging="0" w:left="0" w:right="0"/>
        <w:jc w:val="both"/>
        <w:rPr/>
      </w:pPr>
      <w:r>
        <w:rPr>
          <w:rFonts w:cs="Verdana" w:ascii="Verdana" w:hAnsi="Verdana"/>
          <w:b/>
          <w:sz w:val="20"/>
          <w:szCs w:val="20"/>
        </w:rPr>
        <w:t>b) LOCAL E DATA</w:t>
      </w:r>
      <w:r>
        <w:rPr>
          <w:rFonts w:cs="Verdana" w:ascii="Verdana" w:hAnsi="Verdana"/>
          <w:sz w:val="20"/>
          <w:szCs w:val="20"/>
        </w:rPr>
        <w:t>: Lavrado e assinado nesta cidade, na Praça Vicente Glazar, nº 159, sede da Prefeitura Municipal de São Gabriel da Palha no dia ___ do mês de ________ do ano de 2019.</w:t>
      </w:r>
    </w:p>
    <w:p>
      <w:pPr>
        <w:pStyle w:val="Normal"/>
        <w:tabs>
          <w:tab w:val="clear" w:pos="708"/>
          <w:tab w:val="left" w:pos="0" w:leader="none"/>
        </w:tabs>
        <w:spacing w:lineRule="auto" w:line="276" w:before="0" w:after="0"/>
        <w:ind w:hanging="0" w:left="0" w:right="0"/>
        <w:jc w:val="both"/>
        <w:rPr/>
      </w:pPr>
      <w:r>
        <w:rPr>
          <w:rFonts w:cs="Verdana" w:ascii="Verdana" w:hAnsi="Verdana"/>
          <w:b/>
          <w:sz w:val="20"/>
          <w:szCs w:val="20"/>
        </w:rPr>
        <w:t>c) REPRESENTANTES</w:t>
      </w:r>
      <w:r>
        <w:rPr>
          <w:rFonts w:cs="Verdana" w:ascii="Verdana" w:hAnsi="Verdana"/>
          <w:sz w:val="20"/>
          <w:szCs w:val="20"/>
        </w:rPr>
        <w:t>: Representa o CONTRATANTE, o Senhor ___________________, Prefeito Municipal, brasileiro, casado, residente na _____________, nesta cidade, inscrito no CPF/MF sob o n.º __________________ e a CONTRATADA _______________</w:t>
      </w:r>
    </w:p>
    <w:p>
      <w:pPr>
        <w:pStyle w:val="Normal"/>
        <w:tabs>
          <w:tab w:val="clear" w:pos="708"/>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before="0" w:after="0"/>
        <w:ind w:hanging="0" w:left="0" w:right="0"/>
        <w:jc w:val="both"/>
        <w:rPr/>
      </w:pPr>
      <w:r>
        <w:rPr>
          <w:rFonts w:cs="Verdana" w:ascii="Verdana" w:hAnsi="Verdana"/>
          <w:b/>
          <w:sz w:val="20"/>
          <w:szCs w:val="20"/>
        </w:rPr>
        <w:t>d) FUNDAMENTO</w:t>
      </w:r>
      <w:r>
        <w:rPr>
          <w:rFonts w:cs="Verdana" w:ascii="Verdana" w:hAnsi="Verdana"/>
          <w:sz w:val="20"/>
          <w:szCs w:val="20"/>
        </w:rPr>
        <w:t xml:space="preserve">: O presente contrato tem como fundamento a Lei 14.133 de 01/04/2021, suas alterações, </w:t>
      </w:r>
      <w:r>
        <w:rPr>
          <w:rFonts w:eastAsia="Batang;바탕" w:cs="Verdana" w:ascii="Verdana" w:hAnsi="Verdana"/>
          <w:b/>
          <w:bCs/>
          <w:color w:val="000000"/>
          <w:sz w:val="20"/>
          <w:szCs w:val="20"/>
        </w:rPr>
        <w:t xml:space="preserve">Processo Administrativo nº 3199/2024 de 26/04/2024, </w:t>
      </w:r>
      <w:r>
        <w:rPr>
          <w:rFonts w:cs="Verdana" w:ascii="Verdana" w:hAnsi="Verdana"/>
          <w:b/>
          <w:bCs/>
          <w:color w:val="000000"/>
          <w:sz w:val="20"/>
          <w:szCs w:val="20"/>
        </w:rPr>
        <w:t>Pregão Eletrônico nº 057/2024</w:t>
      </w:r>
      <w:r>
        <w:rPr>
          <w:rFonts w:eastAsia="Batang;바탕" w:cs="Verdana" w:ascii="Verdana" w:hAnsi="Verdana"/>
          <w:b/>
          <w:bCs/>
          <w:color w:val="000000"/>
          <w:sz w:val="20"/>
          <w:szCs w:val="20"/>
        </w:rPr>
        <w:t xml:space="preserve"> de 18/09/2024</w:t>
      </w:r>
      <w:r>
        <w:rPr>
          <w:rFonts w:cs="Verdana" w:ascii="Verdana" w:hAnsi="Verdana"/>
          <w:sz w:val="20"/>
          <w:szCs w:val="20"/>
        </w:rPr>
        <w:t>, bem como as Cláusulas a seguir:</w:t>
      </w:r>
    </w:p>
    <w:p>
      <w:pPr>
        <w:pStyle w:val="Normal"/>
        <w:tabs>
          <w:tab w:val="clear" w:pos="708"/>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before="0" w:after="0"/>
        <w:ind w:hanging="0" w:left="0" w:right="0"/>
        <w:jc w:val="both"/>
        <w:rPr>
          <w:rFonts w:ascii="Verdana" w:hAnsi="Verdana"/>
          <w:sz w:val="20"/>
          <w:szCs w:val="20"/>
        </w:rPr>
      </w:pPr>
      <w:r>
        <w:rPr>
          <w:rFonts w:ascii="Verdana" w:hAnsi="Verdana"/>
          <w:sz w:val="20"/>
          <w:szCs w:val="20"/>
        </w:rPr>
      </w:r>
    </w:p>
    <w:p>
      <w:pPr>
        <w:pStyle w:val="Normal"/>
        <w:spacing w:lineRule="auto" w:line="276" w:before="0" w:after="0"/>
        <w:ind w:hanging="0" w:left="0" w:right="0"/>
        <w:jc w:val="both"/>
        <w:rPr>
          <w:rFonts w:ascii="Verdana" w:hAnsi="Verdana" w:cs="Verdana"/>
          <w:b/>
          <w:sz w:val="20"/>
          <w:szCs w:val="20"/>
          <w:u w:val="single"/>
        </w:rPr>
      </w:pPr>
      <w:r>
        <w:rPr>
          <w:rFonts w:cs="Verdana" w:ascii="Verdana" w:hAnsi="Verdana"/>
          <w:b/>
          <w:sz w:val="20"/>
          <w:szCs w:val="20"/>
          <w:u w:val="single"/>
        </w:rPr>
        <w:t>CLÁUSULA PRIMEIRA – DO OBJETO</w:t>
      </w:r>
    </w:p>
    <w:p>
      <w:pPr>
        <w:pStyle w:val="Normal"/>
        <w:numPr>
          <w:ilvl w:val="1"/>
          <w:numId w:val="5"/>
        </w:numPr>
        <w:shd w:fill="FFFFFF" w:val="clear"/>
        <w:tabs>
          <w:tab w:val="clear" w:pos="708"/>
          <w:tab w:val="left" w:pos="308" w:leader="none"/>
          <w:tab w:val="left" w:pos="450" w:leader="none"/>
        </w:tabs>
        <w:overflowPunct w:val="false"/>
        <w:spacing w:lineRule="auto" w:line="276" w:before="0" w:after="0"/>
        <w:ind w:hanging="0" w:left="0" w:right="0"/>
        <w:jc w:val="both"/>
        <w:textAlignment w:val="auto"/>
        <w:rPr/>
      </w:pPr>
      <w:r>
        <w:rPr>
          <w:rFonts w:cs="Verdana" w:ascii="Verdana" w:hAnsi="Verdana"/>
          <w:sz w:val="20"/>
          <w:szCs w:val="20"/>
        </w:rPr>
        <w:t xml:space="preserve">O Objeto da presente é </w:t>
      </w:r>
      <w:r>
        <w:rPr>
          <w:rFonts w:cs="Arial" w:ascii="Verdana" w:hAnsi="Verdana"/>
          <w:color w:val="000000"/>
          <w:sz w:val="20"/>
          <w:szCs w:val="20"/>
        </w:rPr>
        <w:t>aquisição de gêneros alimentícios em atendimento ao Programa Nacional de Alimentação Escolar – PNAE para atender às necessidades da  Secretaria Municipal de Educação</w:t>
      </w:r>
      <w:r>
        <w:rPr>
          <w:rFonts w:eastAsia="Batang;바탕" w:cs="Arial" w:ascii="Verdana" w:hAnsi="Verdana"/>
          <w:color w:val="000000"/>
          <w:kern w:val="2"/>
          <w:sz w:val="20"/>
          <w:szCs w:val="20"/>
          <w:lang w:eastAsia="en-US" w:bidi="pt-BR"/>
        </w:rPr>
        <w:t>, conforme c</w:t>
      </w:r>
      <w:r>
        <w:rPr>
          <w:rFonts w:cs="Arial" w:ascii="Verdana" w:hAnsi="Verdana"/>
          <w:sz w:val="20"/>
          <w:szCs w:val="20"/>
        </w:rPr>
        <w:t>ondições, quantidades e exigências estabelecidas neste Edital e seus anexos</w:t>
      </w:r>
      <w:r>
        <w:rPr>
          <w:rFonts w:cs="Verdana" w:ascii="Verdana" w:hAnsi="Verdana"/>
          <w:sz w:val="20"/>
          <w:szCs w:val="20"/>
        </w:rPr>
        <w:t>.</w:t>
      </w:r>
    </w:p>
    <w:p>
      <w:pPr>
        <w:pStyle w:val="Normal"/>
        <w:tabs>
          <w:tab w:val="clear" w:pos="708"/>
          <w:tab w:val="left" w:pos="10348" w:leader="none"/>
        </w:tabs>
        <w:spacing w:lineRule="auto" w:line="276" w:before="0" w:after="0"/>
        <w:ind w:hanging="0" w:left="0" w:right="0"/>
        <w:jc w:val="both"/>
        <w:rPr>
          <w:rFonts w:ascii="Verdana" w:hAnsi="Verdana"/>
          <w:sz w:val="20"/>
          <w:szCs w:val="20"/>
        </w:rPr>
      </w:pPr>
      <w:r>
        <w:rPr>
          <w:rFonts w:ascii="Verdana" w:hAnsi="Verdana"/>
          <w:sz w:val="20"/>
          <w:szCs w:val="20"/>
        </w:rPr>
      </w:r>
    </w:p>
    <w:tbl>
      <w:tblPr>
        <w:tblW w:w="8955" w:type="dxa"/>
        <w:jc w:val="left"/>
        <w:tblInd w:w="79" w:type="dxa"/>
        <w:tblLayout w:type="fixed"/>
        <w:tblCellMar>
          <w:top w:w="55" w:type="dxa"/>
          <w:left w:w="55" w:type="dxa"/>
          <w:bottom w:w="55" w:type="dxa"/>
          <w:right w:w="55" w:type="dxa"/>
        </w:tblCellMar>
      </w:tblPr>
      <w:tblGrid>
        <w:gridCol w:w="795"/>
        <w:gridCol w:w="3675"/>
        <w:gridCol w:w="1020"/>
        <w:gridCol w:w="1980"/>
        <w:gridCol w:w="1485"/>
      </w:tblGrid>
      <w:tr>
        <w:trPr>
          <w:trHeight w:val="285" w:hRule="atLeast"/>
        </w:trPr>
        <w:tc>
          <w:tcPr>
            <w:tcW w:w="795" w:type="dxa"/>
            <w:tcBorders>
              <w:top w:val="single" w:sz="4" w:space="0" w:color="000000"/>
              <w:left w:val="single" w:sz="4" w:space="0" w:color="000000"/>
              <w:bottom w:val="single" w:sz="4" w:space="0" w:color="000000"/>
            </w:tcBorders>
            <w:vAlign w:val="center"/>
          </w:tcPr>
          <w:p>
            <w:pPr>
              <w:pStyle w:val="Contedodatabela"/>
              <w:widowControl w:val="false"/>
              <w:spacing w:lineRule="auto" w:line="276" w:before="0" w:after="0"/>
              <w:ind w:hanging="0" w:left="0" w:right="0"/>
              <w:jc w:val="center"/>
              <w:rPr>
                <w:rFonts w:ascii="Verdana" w:hAnsi="Verdana"/>
                <w:b/>
                <w:bCs/>
                <w:sz w:val="20"/>
                <w:szCs w:val="20"/>
              </w:rPr>
            </w:pPr>
            <w:r>
              <w:rPr>
                <w:rFonts w:ascii="Verdana" w:hAnsi="Verdana"/>
                <w:b/>
                <w:bCs/>
                <w:sz w:val="20"/>
                <w:szCs w:val="20"/>
              </w:rPr>
              <w:t>ITEM</w:t>
            </w:r>
          </w:p>
        </w:tc>
        <w:tc>
          <w:tcPr>
            <w:tcW w:w="3675" w:type="dxa"/>
            <w:tcBorders>
              <w:top w:val="single" w:sz="4" w:space="0" w:color="000000"/>
              <w:left w:val="single" w:sz="4" w:space="0" w:color="000000"/>
              <w:bottom w:val="single" w:sz="4" w:space="0" w:color="000000"/>
            </w:tcBorders>
            <w:vAlign w:val="center"/>
          </w:tcPr>
          <w:p>
            <w:pPr>
              <w:pStyle w:val="Contedodatabela"/>
              <w:widowControl w:val="false"/>
              <w:spacing w:lineRule="auto" w:line="276" w:before="0" w:after="0"/>
              <w:ind w:hanging="0" w:left="0" w:right="0"/>
              <w:jc w:val="center"/>
              <w:rPr>
                <w:rFonts w:ascii="Verdana" w:hAnsi="Verdana"/>
                <w:b/>
                <w:bCs/>
                <w:sz w:val="20"/>
                <w:szCs w:val="20"/>
              </w:rPr>
            </w:pPr>
            <w:r>
              <w:rPr>
                <w:rFonts w:ascii="Verdana" w:hAnsi="Verdana"/>
                <w:b/>
                <w:bCs/>
                <w:sz w:val="20"/>
                <w:szCs w:val="20"/>
              </w:rPr>
              <w:t>GÊNEROS</w:t>
            </w:r>
          </w:p>
        </w:tc>
        <w:tc>
          <w:tcPr>
            <w:tcW w:w="1020" w:type="dxa"/>
            <w:tcBorders>
              <w:top w:val="single" w:sz="4" w:space="0" w:color="000000"/>
              <w:left w:val="single" w:sz="4" w:space="0" w:color="000000"/>
              <w:bottom w:val="single" w:sz="4" w:space="0" w:color="000000"/>
            </w:tcBorders>
            <w:vAlign w:val="center"/>
          </w:tcPr>
          <w:p>
            <w:pPr>
              <w:pStyle w:val="Contedodatabela"/>
              <w:widowControl w:val="false"/>
              <w:spacing w:lineRule="auto" w:line="276" w:before="0" w:after="0"/>
              <w:ind w:hanging="0" w:left="0" w:right="0"/>
              <w:jc w:val="center"/>
              <w:rPr>
                <w:rFonts w:ascii="Verdana" w:hAnsi="Verdana"/>
                <w:b/>
                <w:bCs/>
                <w:sz w:val="20"/>
                <w:szCs w:val="20"/>
              </w:rPr>
            </w:pPr>
            <w:r>
              <w:rPr>
                <w:rFonts w:ascii="Verdana" w:hAnsi="Verdana"/>
                <w:b/>
                <w:bCs/>
                <w:sz w:val="20"/>
                <w:szCs w:val="20"/>
              </w:rPr>
              <w:t>QUANT.</w:t>
            </w:r>
          </w:p>
        </w:tc>
        <w:tc>
          <w:tcPr>
            <w:tcW w:w="1980" w:type="dxa"/>
            <w:tcBorders>
              <w:top w:val="single" w:sz="4" w:space="0" w:color="000000"/>
              <w:left w:val="single" w:sz="4" w:space="0" w:color="000000"/>
              <w:bottom w:val="single" w:sz="4" w:space="0" w:color="000000"/>
            </w:tcBorders>
            <w:vAlign w:val="center"/>
          </w:tcPr>
          <w:p>
            <w:pPr>
              <w:pStyle w:val="Contedodatabela"/>
              <w:widowControl w:val="false"/>
              <w:spacing w:lineRule="auto" w:line="276" w:before="0" w:after="0"/>
              <w:ind w:hanging="0" w:left="0" w:right="0"/>
              <w:jc w:val="center"/>
              <w:rPr>
                <w:rFonts w:ascii="Verdana" w:hAnsi="Verdana"/>
                <w:b/>
                <w:bCs/>
                <w:sz w:val="20"/>
                <w:szCs w:val="20"/>
              </w:rPr>
            </w:pPr>
            <w:r>
              <w:rPr>
                <w:rFonts w:ascii="Verdana" w:hAnsi="Verdana"/>
                <w:b/>
                <w:bCs/>
                <w:sz w:val="20"/>
                <w:szCs w:val="20"/>
              </w:rPr>
              <w:t>VALOR MÉDIO</w:t>
            </w:r>
          </w:p>
        </w:tc>
        <w:tc>
          <w:tcPr>
            <w:tcW w:w="1485" w:type="dxa"/>
            <w:tcBorders>
              <w:top w:val="single" w:sz="4" w:space="0" w:color="000000"/>
              <w:left w:val="single" w:sz="4" w:space="0" w:color="000000"/>
              <w:bottom w:val="single" w:sz="4" w:space="0" w:color="000000"/>
              <w:right w:val="single" w:sz="4" w:space="0" w:color="000000"/>
            </w:tcBorders>
            <w:vAlign w:val="center"/>
          </w:tcPr>
          <w:p>
            <w:pPr>
              <w:pStyle w:val="Contedodatabela"/>
              <w:widowControl w:val="false"/>
              <w:spacing w:lineRule="auto" w:line="276" w:before="0" w:after="0"/>
              <w:ind w:hanging="0" w:left="0" w:right="0"/>
              <w:jc w:val="center"/>
              <w:rPr>
                <w:rFonts w:ascii="Verdana" w:hAnsi="Verdana"/>
                <w:b/>
                <w:bCs/>
                <w:sz w:val="20"/>
                <w:szCs w:val="20"/>
              </w:rPr>
            </w:pPr>
            <w:r>
              <w:rPr>
                <w:rFonts w:ascii="Verdana" w:hAnsi="Verdana"/>
                <w:b/>
                <w:bCs/>
                <w:sz w:val="20"/>
                <w:szCs w:val="20"/>
              </w:rPr>
              <w:t>TOTAL R$</w:t>
            </w:r>
          </w:p>
        </w:tc>
      </w:tr>
      <w:tr>
        <w:trPr/>
        <w:tc>
          <w:tcPr>
            <w:tcW w:w="795" w:type="dxa"/>
            <w:tcBorders>
              <w:left w:val="single" w:sz="4" w:space="0" w:color="000000"/>
              <w:bottom w:val="single" w:sz="4" w:space="0" w:color="000000"/>
            </w:tcBorders>
          </w:tcPr>
          <w:p>
            <w:pPr>
              <w:pStyle w:val="Contedodatabela"/>
              <w:widowControl w:val="false"/>
              <w:spacing w:lineRule="auto" w:line="276" w:before="0" w:after="0"/>
              <w:ind w:hanging="0" w:left="0" w:right="0"/>
              <w:jc w:val="center"/>
              <w:rPr>
                <w:rFonts w:ascii="Verdana" w:hAnsi="Verdana" w:cs="Arial"/>
                <w:b/>
                <w:sz w:val="20"/>
                <w:szCs w:val="20"/>
              </w:rPr>
            </w:pPr>
            <w:r>
              <w:rPr>
                <w:rFonts w:cs="Arial" w:ascii="Verdana" w:hAnsi="Verdana"/>
                <w:b/>
                <w:sz w:val="20"/>
                <w:szCs w:val="20"/>
              </w:rPr>
            </w:r>
          </w:p>
        </w:tc>
        <w:tc>
          <w:tcPr>
            <w:tcW w:w="3675" w:type="dxa"/>
            <w:tcBorders>
              <w:left w:val="single" w:sz="4" w:space="0" w:color="000000"/>
              <w:bottom w:val="single" w:sz="4" w:space="0" w:color="000000"/>
            </w:tcBorders>
          </w:tcPr>
          <w:p>
            <w:pPr>
              <w:pStyle w:val="Contedodatabela"/>
              <w:widowControl w:val="false"/>
              <w:spacing w:lineRule="auto" w:line="276" w:before="0" w:after="0"/>
              <w:ind w:hanging="0" w:left="0" w:right="0"/>
              <w:jc w:val="center"/>
              <w:rPr>
                <w:rFonts w:ascii="Verdana" w:hAnsi="Verdana" w:cs="Arial"/>
                <w:b/>
                <w:sz w:val="20"/>
                <w:szCs w:val="20"/>
              </w:rPr>
            </w:pPr>
            <w:r>
              <w:rPr>
                <w:rFonts w:cs="Arial" w:ascii="Verdana" w:hAnsi="Verdana"/>
                <w:b/>
                <w:sz w:val="20"/>
                <w:szCs w:val="20"/>
              </w:rPr>
            </w:r>
          </w:p>
        </w:tc>
        <w:tc>
          <w:tcPr>
            <w:tcW w:w="1020" w:type="dxa"/>
            <w:tcBorders>
              <w:left w:val="single" w:sz="4" w:space="0" w:color="000000"/>
              <w:bottom w:val="single" w:sz="4" w:space="0" w:color="000000"/>
            </w:tcBorders>
          </w:tcPr>
          <w:p>
            <w:pPr>
              <w:pStyle w:val="Contedodatabela"/>
              <w:widowControl w:val="false"/>
              <w:spacing w:lineRule="auto" w:line="276" w:before="0" w:after="0"/>
              <w:ind w:hanging="0" w:left="0" w:right="0"/>
              <w:jc w:val="center"/>
              <w:rPr>
                <w:rFonts w:ascii="Verdana" w:hAnsi="Verdana" w:cs="Arial"/>
                <w:b/>
                <w:sz w:val="20"/>
                <w:szCs w:val="20"/>
              </w:rPr>
            </w:pPr>
            <w:r>
              <w:rPr>
                <w:rFonts w:cs="Arial" w:ascii="Verdana" w:hAnsi="Verdana"/>
                <w:b/>
                <w:sz w:val="20"/>
                <w:szCs w:val="20"/>
              </w:rPr>
            </w:r>
          </w:p>
        </w:tc>
        <w:tc>
          <w:tcPr>
            <w:tcW w:w="1980" w:type="dxa"/>
            <w:tcBorders>
              <w:left w:val="single" w:sz="4" w:space="0" w:color="000000"/>
              <w:bottom w:val="single" w:sz="4" w:space="0" w:color="000000"/>
            </w:tcBorders>
          </w:tcPr>
          <w:p>
            <w:pPr>
              <w:pStyle w:val="Contedodatabela"/>
              <w:widowControl w:val="false"/>
              <w:spacing w:lineRule="auto" w:line="276" w:before="0" w:after="0"/>
              <w:ind w:hanging="0" w:left="0" w:right="0"/>
              <w:jc w:val="center"/>
              <w:rPr>
                <w:rFonts w:ascii="Verdana" w:hAnsi="Verdana" w:cs="Arial"/>
                <w:b/>
                <w:sz w:val="20"/>
                <w:szCs w:val="20"/>
              </w:rPr>
            </w:pPr>
            <w:r>
              <w:rPr>
                <w:rFonts w:cs="Arial" w:ascii="Verdana" w:hAnsi="Verdana"/>
                <w:b/>
                <w:sz w:val="20"/>
                <w:szCs w:val="20"/>
              </w:rPr>
            </w:r>
          </w:p>
        </w:tc>
        <w:tc>
          <w:tcPr>
            <w:tcW w:w="1485" w:type="dxa"/>
            <w:tcBorders>
              <w:left w:val="single" w:sz="4" w:space="0" w:color="000000"/>
              <w:bottom w:val="single" w:sz="4" w:space="0" w:color="000000"/>
              <w:right w:val="single" w:sz="4" w:space="0" w:color="000000"/>
            </w:tcBorders>
          </w:tcPr>
          <w:p>
            <w:pPr>
              <w:pStyle w:val="Contedodatabela"/>
              <w:widowControl w:val="false"/>
              <w:spacing w:lineRule="auto" w:line="276" w:before="0" w:after="0"/>
              <w:ind w:hanging="0" w:left="0" w:right="0"/>
              <w:jc w:val="center"/>
              <w:rPr>
                <w:rFonts w:ascii="Verdana" w:hAnsi="Verdana" w:cs="Arial"/>
                <w:b/>
                <w:sz w:val="20"/>
                <w:szCs w:val="20"/>
              </w:rPr>
            </w:pPr>
            <w:r>
              <w:rPr>
                <w:rFonts w:cs="Arial" w:ascii="Verdana" w:hAnsi="Verdana"/>
                <w:b/>
                <w:sz w:val="20"/>
                <w:szCs w:val="20"/>
              </w:rPr>
            </w:r>
          </w:p>
        </w:tc>
      </w:tr>
    </w:tbl>
    <w:p>
      <w:pPr>
        <w:pStyle w:val="Normal"/>
        <w:spacing w:lineRule="auto" w:line="276" w:before="0" w:after="0"/>
        <w:ind w:hanging="0" w:left="0" w:right="0"/>
        <w:jc w:val="both"/>
        <w:rPr>
          <w:rFonts w:ascii="Verdana" w:hAnsi="Verdana" w:cs="Verdana"/>
          <w:b/>
          <w:iCs/>
          <w:sz w:val="20"/>
          <w:szCs w:val="20"/>
        </w:rPr>
      </w:pPr>
      <w:r>
        <w:rPr>
          <w:rFonts w:cs="Verdana" w:ascii="Verdana" w:hAnsi="Verdana"/>
          <w:b/>
          <w:iCs/>
          <w:sz w:val="20"/>
          <w:szCs w:val="20"/>
        </w:rPr>
      </w:r>
    </w:p>
    <w:p>
      <w:pPr>
        <w:pStyle w:val="Normal"/>
        <w:spacing w:lineRule="auto" w:line="276" w:before="0" w:after="0"/>
        <w:ind w:hanging="0" w:left="0" w:right="0"/>
        <w:jc w:val="both"/>
        <w:rPr>
          <w:rFonts w:ascii="Verdana" w:hAnsi="Verdana" w:cs="Verdana"/>
          <w:b/>
          <w:sz w:val="20"/>
          <w:szCs w:val="20"/>
          <w:u w:val="single"/>
        </w:rPr>
      </w:pPr>
      <w:r>
        <w:rPr>
          <w:rFonts w:cs="Verdana" w:ascii="Verdana" w:hAnsi="Verdana"/>
          <w:b/>
          <w:sz w:val="20"/>
          <w:szCs w:val="20"/>
          <w:u w:val="single"/>
        </w:rPr>
        <w:t>CLÁUSULA SEGUNDA – MODELO DE EXECUÇÃO CONTRATUAL E DA ENTREGA:</w:t>
      </w:r>
    </w:p>
    <w:p>
      <w:pPr>
        <w:pStyle w:val="Normal"/>
        <w:spacing w:lineRule="auto" w:line="276" w:before="0" w:after="0"/>
        <w:ind w:hanging="0" w:left="0" w:right="0"/>
        <w:jc w:val="both"/>
        <w:rPr/>
      </w:pPr>
      <w:r>
        <w:rPr>
          <w:rFonts w:cs="Verdana" w:ascii="Verdana" w:hAnsi="Verdana"/>
          <w:b/>
          <w:iCs/>
          <w:sz w:val="20"/>
          <w:szCs w:val="20"/>
        </w:rPr>
        <w:t xml:space="preserve">2.1 </w:t>
      </w:r>
      <w:r>
        <w:rPr>
          <w:rFonts w:cs="Arial" w:ascii="Verdana" w:hAnsi="Verdana"/>
          <w:b/>
          <w:iCs/>
          <w:sz w:val="20"/>
          <w:szCs w:val="20"/>
        </w:rPr>
        <w:t xml:space="preserve">Os Gêneros Alimentícios estão serão solicitados de acordo com </w:t>
      </w:r>
      <w:r>
        <w:rPr>
          <w:rFonts w:eastAsia="Times New Roman" w:cs="Arial" w:ascii="Verdana" w:hAnsi="Verdana"/>
          <w:b/>
          <w:iCs/>
          <w:sz w:val="20"/>
          <w:szCs w:val="20"/>
        </w:rPr>
        <w:t>o cronograma</w:t>
      </w:r>
      <w:r>
        <w:rPr>
          <w:rFonts w:cs="Arial" w:ascii="Verdana" w:hAnsi="Verdana"/>
          <w:b/>
          <w:iCs/>
          <w:sz w:val="20"/>
          <w:szCs w:val="20"/>
        </w:rPr>
        <w:t xml:space="preserve">. Os gêneros </w:t>
      </w:r>
      <w:r>
        <w:rPr>
          <w:rFonts w:eastAsia="Times New Roman" w:cs="Arial" w:ascii="Verdana" w:hAnsi="Verdana"/>
          <w:b/>
          <w:iCs/>
          <w:color w:val="000000"/>
          <w:sz w:val="20"/>
          <w:szCs w:val="20"/>
        </w:rPr>
        <w:t>deverão ser primeiramente apresentados no SEMAE – Setor Municipal de Alimentação Escolar, situado na Rua Manoel Inácio da Silva, nº 247, bairro São Vicente, nesta cidade.</w:t>
      </w:r>
    </w:p>
    <w:p>
      <w:pPr>
        <w:pStyle w:val="Normal"/>
        <w:spacing w:lineRule="auto" w:line="276" w:before="0" w:after="0"/>
        <w:ind w:hanging="0" w:left="0" w:right="0"/>
        <w:jc w:val="both"/>
        <w:rPr/>
      </w:pPr>
      <w:r>
        <w:rPr>
          <w:rFonts w:eastAsia="Times New Roman" w:cs="Arial" w:ascii="Verdana" w:hAnsi="Verdana"/>
          <w:b/>
          <w:bCs/>
          <w:color w:val="000000"/>
          <w:sz w:val="20"/>
          <w:szCs w:val="20"/>
        </w:rPr>
        <w:t>2.2</w:t>
      </w:r>
      <w:r>
        <w:rPr>
          <w:rFonts w:eastAsia="Times New Roman" w:cs="Arial" w:ascii="Verdana" w:hAnsi="Verdana"/>
          <w:color w:val="000000"/>
          <w:sz w:val="20"/>
          <w:szCs w:val="20"/>
        </w:rPr>
        <w:t>. Os gêneros alimentícios perecíveis deverão vir acompanhados de</w:t>
      </w:r>
      <w:r>
        <w:rPr>
          <w:rFonts w:cs="Arial" w:ascii="Verdana" w:hAnsi="Verdana"/>
          <w:sz w:val="20"/>
          <w:szCs w:val="20"/>
        </w:rPr>
        <w:t xml:space="preserve"> Nota Fiscal Eletrônica, e passarão por avaliação da qualidade e compatibilidade da mercadoria com a amostra apresentada, conforme Edital, após, serão liberados para serem entregues diretamente nas escolas, conforme cronograma </w:t>
      </w:r>
      <w:r>
        <w:rPr>
          <w:rFonts w:eastAsia="Times New Roman" w:cs="Arial" w:ascii="Verdana" w:hAnsi="Verdana"/>
          <w:sz w:val="20"/>
          <w:szCs w:val="20"/>
        </w:rPr>
        <w:t>de entrega</w:t>
      </w:r>
      <w:r>
        <w:rPr>
          <w:rFonts w:cs="Arial" w:ascii="Verdana" w:hAnsi="Verdana"/>
          <w:sz w:val="20"/>
          <w:szCs w:val="20"/>
        </w:rPr>
        <w:t xml:space="preserve"> e endereços.</w:t>
      </w:r>
    </w:p>
    <w:p>
      <w:pPr>
        <w:pStyle w:val="Normal"/>
        <w:spacing w:lineRule="auto" w:line="276" w:before="0" w:after="0"/>
        <w:ind w:hanging="0" w:left="0" w:right="0"/>
        <w:jc w:val="both"/>
        <w:rPr/>
      </w:pPr>
      <w:r>
        <w:rPr>
          <w:rFonts w:cs="Arial" w:ascii="Verdana" w:hAnsi="Verdana"/>
          <w:b/>
          <w:bCs/>
          <w:sz w:val="20"/>
          <w:szCs w:val="20"/>
        </w:rPr>
        <w:t>2.3</w:t>
      </w:r>
      <w:r>
        <w:rPr>
          <w:rFonts w:cs="Arial" w:ascii="Verdana" w:hAnsi="Verdana"/>
          <w:sz w:val="20"/>
          <w:szCs w:val="20"/>
        </w:rPr>
        <w:t xml:space="preserve">. Os gêneros alimentícios não perecíveis deverão ser entregues diretamente no depósito do SEMAE, </w:t>
      </w:r>
      <w:r>
        <w:rPr>
          <w:rFonts w:eastAsia="Times New Roman" w:cs="Arial" w:ascii="Verdana" w:hAnsi="Verdana"/>
          <w:color w:val="000000"/>
          <w:sz w:val="20"/>
          <w:szCs w:val="20"/>
        </w:rPr>
        <w:t>Setor Municipal de Alimentação Escolar, situado na Rua Manoel Inácio da Silva, nº 247, bairro São Vicente, nesta cidade, junto com a Nota Fiscal Eletrônica conforme cronograma de entrega.</w:t>
      </w:r>
    </w:p>
    <w:p>
      <w:pPr>
        <w:pStyle w:val="Normal"/>
        <w:spacing w:lineRule="auto" w:line="276" w:before="0" w:after="0"/>
        <w:ind w:hanging="0" w:left="0" w:right="0"/>
        <w:jc w:val="both"/>
        <w:rPr/>
      </w:pPr>
      <w:r>
        <w:rPr>
          <w:rFonts w:cs="Arial" w:ascii="Verdana" w:hAnsi="Verdana"/>
          <w:b/>
          <w:bCs/>
          <w:sz w:val="20"/>
          <w:szCs w:val="20"/>
        </w:rPr>
        <w:t>2.4</w:t>
      </w:r>
      <w:r>
        <w:rPr>
          <w:rFonts w:cs="Arial" w:ascii="Verdana" w:hAnsi="Verdana"/>
          <w:b w:val="false"/>
          <w:bCs w:val="false"/>
          <w:sz w:val="20"/>
          <w:szCs w:val="20"/>
        </w:rPr>
        <w:t>.</w:t>
      </w:r>
      <w:r>
        <w:rPr>
          <w:rFonts w:cs="Arial" w:ascii="Verdana" w:hAnsi="Verdana"/>
          <w:sz w:val="20"/>
          <w:szCs w:val="20"/>
        </w:rPr>
        <w:t xml:space="preserve"> A entrega deverá ocorrer sem qualquer ônus adicional, bem como a descarga e todas as demais despesas provenientes da mesma.</w:t>
      </w:r>
    </w:p>
    <w:p>
      <w:pPr>
        <w:pStyle w:val="Normal"/>
        <w:spacing w:lineRule="auto" w:line="276" w:before="0" w:after="0"/>
        <w:ind w:hanging="0" w:left="0" w:right="0"/>
        <w:jc w:val="both"/>
        <w:rPr/>
      </w:pPr>
      <w:r>
        <w:rPr>
          <w:rFonts w:eastAsia="Times New Roman" w:cs="Arial" w:ascii="Verdana" w:hAnsi="Verdana"/>
          <w:b/>
          <w:bCs/>
          <w:sz w:val="20"/>
          <w:szCs w:val="20"/>
        </w:rPr>
        <w:t>2.5.</w:t>
      </w:r>
      <w:r>
        <w:rPr>
          <w:rFonts w:cs="Arial" w:ascii="Verdana" w:hAnsi="Verdana"/>
          <w:b/>
          <w:bCs/>
          <w:sz w:val="20"/>
          <w:szCs w:val="20"/>
        </w:rPr>
        <w:t xml:space="preserve"> </w:t>
      </w:r>
      <w:r>
        <w:rPr>
          <w:rFonts w:cs="Arial" w:ascii="Verdana" w:hAnsi="Verdana"/>
          <w:sz w:val="20"/>
          <w:szCs w:val="20"/>
        </w:rPr>
        <w:t>A Empresa vencedora garantirá a qualidade dos materiais obrigando-se a repor aquele que apresentar defeito ou for entregue em desacordo com o apresentado na proposta.</w:t>
      </w:r>
    </w:p>
    <w:p>
      <w:pPr>
        <w:pStyle w:val="Normal"/>
        <w:spacing w:lineRule="auto" w:line="276" w:before="0" w:after="0"/>
        <w:ind w:hanging="0" w:left="0" w:right="0"/>
        <w:jc w:val="both"/>
        <w:rPr/>
      </w:pPr>
      <w:r>
        <w:rPr>
          <w:rFonts w:eastAsia="Times New Roman" w:cs="Arial" w:ascii="Verdana" w:hAnsi="Verdana"/>
          <w:b/>
          <w:bCs/>
          <w:sz w:val="20"/>
          <w:szCs w:val="20"/>
        </w:rPr>
        <w:t>2.6</w:t>
      </w:r>
      <w:r>
        <w:rPr>
          <w:rFonts w:eastAsia="Times New Roman" w:cs="Arial" w:ascii="Verdana" w:hAnsi="Verdana"/>
          <w:b w:val="false"/>
          <w:bCs w:val="false"/>
          <w:sz w:val="20"/>
          <w:szCs w:val="20"/>
        </w:rPr>
        <w:t>.</w:t>
      </w:r>
      <w:r>
        <w:rPr>
          <w:rFonts w:eastAsia="Times New Roman" w:cs="Arial" w:ascii="Verdana" w:hAnsi="Verdana"/>
          <w:b/>
          <w:sz w:val="20"/>
          <w:szCs w:val="20"/>
        </w:rPr>
        <w:t xml:space="preserve"> </w:t>
      </w:r>
      <w:r>
        <w:rPr>
          <w:rFonts w:cs="Arial" w:ascii="Verdana" w:hAnsi="Verdana"/>
          <w:sz w:val="20"/>
          <w:szCs w:val="20"/>
        </w:rPr>
        <w:t>Os itens deverão ser entregues dentro do horário de expediente do setor de alimentação escolar e das escolas sendo de 7h as 17h, observando feriados e pontos facultativos.</w:t>
      </w:r>
    </w:p>
    <w:p>
      <w:pPr>
        <w:pStyle w:val="Normal"/>
        <w:spacing w:lineRule="auto" w:line="276" w:before="0" w:after="0"/>
        <w:ind w:hanging="0" w:left="0" w:right="0"/>
        <w:jc w:val="both"/>
        <w:rPr/>
      </w:pPr>
      <w:r>
        <w:rPr>
          <w:rFonts w:cs="Arial" w:ascii="Verdana" w:hAnsi="Verdana"/>
          <w:b/>
          <w:bCs/>
          <w:sz w:val="20"/>
          <w:szCs w:val="20"/>
        </w:rPr>
        <w:t>2.7</w:t>
      </w:r>
      <w:r>
        <w:rPr>
          <w:rFonts w:cs="Arial" w:ascii="Verdana" w:hAnsi="Verdana"/>
          <w:b w:val="false"/>
          <w:bCs w:val="false"/>
          <w:sz w:val="20"/>
          <w:szCs w:val="20"/>
        </w:rPr>
        <w:t>.</w:t>
      </w:r>
      <w:r>
        <w:rPr>
          <w:rFonts w:cs="Arial" w:ascii="Verdana" w:hAnsi="Verdana"/>
          <w:b/>
          <w:sz w:val="20"/>
          <w:szCs w:val="20"/>
        </w:rPr>
        <w:t xml:space="preserve"> </w:t>
      </w:r>
      <w:r>
        <w:rPr>
          <w:rFonts w:cs="Arial" w:ascii="Verdana" w:hAnsi="Verdana"/>
          <w:sz w:val="20"/>
          <w:szCs w:val="20"/>
        </w:rPr>
        <w:t xml:space="preserve">A Empresa vencedora garantirá a qualidade dos itens obrigando-se a repor aquele que apresentar defeito ou for entregue em desacordo com o apresentado na proposta; </w:t>
      </w:r>
    </w:p>
    <w:p>
      <w:pPr>
        <w:pStyle w:val="Normal"/>
        <w:spacing w:lineRule="auto" w:line="276" w:before="0" w:after="0"/>
        <w:ind w:hanging="0" w:left="0" w:right="0"/>
        <w:jc w:val="both"/>
        <w:rPr/>
      </w:pPr>
      <w:r>
        <w:rPr>
          <w:rFonts w:eastAsia="Times New Roman" w:cs="Arial" w:ascii="Verdana" w:hAnsi="Verdana"/>
          <w:b/>
          <w:bCs/>
          <w:sz w:val="20"/>
          <w:szCs w:val="20"/>
        </w:rPr>
        <w:t>2.8</w:t>
      </w:r>
      <w:r>
        <w:rPr>
          <w:rFonts w:eastAsia="Times New Roman" w:cs="Arial" w:ascii="Verdana" w:hAnsi="Verdana"/>
          <w:b w:val="false"/>
          <w:bCs w:val="false"/>
          <w:sz w:val="20"/>
          <w:szCs w:val="20"/>
        </w:rPr>
        <w:t>.</w:t>
      </w:r>
      <w:r>
        <w:rPr>
          <w:rFonts w:cs="Arial" w:ascii="Verdana" w:hAnsi="Verdana"/>
          <w:b w:val="false"/>
          <w:bCs w:val="false"/>
          <w:sz w:val="20"/>
          <w:szCs w:val="20"/>
        </w:rPr>
        <w:t xml:space="preserve"> </w:t>
      </w:r>
      <w:r>
        <w:rPr>
          <w:rFonts w:cs="Arial" w:ascii="Verdana" w:hAnsi="Verdana"/>
          <w:sz w:val="20"/>
          <w:szCs w:val="20"/>
        </w:rPr>
        <w:t>O material deverá ser entregue nas mesmas marcas indicadas nas propostas de preços vencedoras do certame e especificações constantes nas solicitações de compras.</w:t>
      </w:r>
    </w:p>
    <w:p>
      <w:pPr>
        <w:pStyle w:val="Normal"/>
        <w:spacing w:lineRule="auto" w:line="276" w:before="0" w:after="0"/>
        <w:ind w:hanging="0" w:left="0" w:right="0"/>
        <w:jc w:val="both"/>
        <w:rPr/>
      </w:pPr>
      <w:r>
        <w:rPr>
          <w:rFonts w:eastAsia="Times New Roman" w:cs="Arial" w:ascii="Verdana" w:hAnsi="Verdana"/>
          <w:b/>
          <w:bCs/>
          <w:sz w:val="20"/>
          <w:szCs w:val="20"/>
        </w:rPr>
        <w:t>2.9</w:t>
      </w:r>
      <w:r>
        <w:rPr>
          <w:rFonts w:eastAsia="Times New Roman" w:cs="Arial" w:ascii="Verdana" w:hAnsi="Verdana"/>
          <w:b w:val="false"/>
          <w:bCs w:val="false"/>
          <w:sz w:val="20"/>
          <w:szCs w:val="20"/>
        </w:rPr>
        <w:t>.</w:t>
      </w:r>
      <w:r>
        <w:rPr>
          <w:rFonts w:cs="Arial" w:ascii="Verdana" w:hAnsi="Verdana"/>
          <w:b w:val="false"/>
          <w:bCs w:val="false"/>
          <w:sz w:val="20"/>
          <w:szCs w:val="20"/>
        </w:rPr>
        <w:t xml:space="preserve"> O recebimento provisório do material entregue dar-se-á pela conferência com a descrição constante da ordem de fornecimento ou serviço;</w:t>
      </w:r>
    </w:p>
    <w:p>
      <w:pPr>
        <w:pStyle w:val="Normal"/>
        <w:spacing w:lineRule="auto" w:line="276" w:before="0" w:after="0"/>
        <w:ind w:hanging="0" w:left="0" w:right="0"/>
        <w:jc w:val="both"/>
        <w:rPr/>
      </w:pPr>
      <w:r>
        <w:rPr>
          <w:rFonts w:eastAsia="Times New Roman" w:cs="Arial" w:ascii="Verdana" w:hAnsi="Verdana"/>
          <w:b/>
          <w:bCs/>
          <w:sz w:val="20"/>
          <w:szCs w:val="20"/>
        </w:rPr>
        <w:t>2.10</w:t>
      </w:r>
      <w:r>
        <w:rPr>
          <w:rFonts w:eastAsia="Times New Roman" w:cs="Arial" w:ascii="Verdana" w:hAnsi="Verdana"/>
          <w:b w:val="false"/>
          <w:bCs w:val="false"/>
          <w:sz w:val="20"/>
          <w:szCs w:val="20"/>
        </w:rPr>
        <w:t>.</w:t>
      </w:r>
      <w:r>
        <w:rPr>
          <w:rFonts w:eastAsia="Times New Roman" w:cs="Arial" w:ascii="Verdana" w:hAnsi="Verdana"/>
          <w:b/>
          <w:sz w:val="20"/>
          <w:szCs w:val="20"/>
        </w:rPr>
        <w:t xml:space="preserve"> </w:t>
      </w:r>
      <w:r>
        <w:rPr>
          <w:rFonts w:cs="Arial" w:ascii="Verdana" w:hAnsi="Verdana"/>
          <w:sz w:val="20"/>
          <w:szCs w:val="20"/>
        </w:rPr>
        <w:t>O recebimento definitivo ocorrerá com a verificação integral de todos os itens e características do produto fornecido pela CONTRATADA;</w:t>
      </w:r>
    </w:p>
    <w:p>
      <w:pPr>
        <w:pStyle w:val="Normal"/>
        <w:spacing w:lineRule="auto" w:line="276" w:before="0" w:after="0"/>
        <w:ind w:hanging="0" w:left="0" w:right="0"/>
        <w:jc w:val="both"/>
        <w:rPr/>
      </w:pPr>
      <w:r>
        <w:rPr>
          <w:rFonts w:cs="Arial" w:ascii="Verdana" w:hAnsi="Verdana"/>
          <w:b/>
          <w:bCs/>
          <w:sz w:val="20"/>
          <w:szCs w:val="20"/>
        </w:rPr>
        <w:t>2.11</w:t>
      </w:r>
      <w:r>
        <w:rPr>
          <w:rFonts w:cs="Arial" w:ascii="Verdana" w:hAnsi="Verdana"/>
          <w:b w:val="false"/>
          <w:bCs w:val="false"/>
          <w:sz w:val="20"/>
          <w:szCs w:val="20"/>
        </w:rPr>
        <w:t>. O recebimento definitivo não isenta a CONTRATADA de responsabilidades futuras quanto à qualidade dos fornecimentos e serviços prestados.</w:t>
      </w:r>
    </w:p>
    <w:p>
      <w:pPr>
        <w:pStyle w:val="Normal"/>
        <w:spacing w:lineRule="auto" w:line="276" w:before="0" w:after="0"/>
        <w:ind w:hanging="0" w:left="0" w:right="0"/>
        <w:jc w:val="both"/>
        <w:rPr/>
      </w:pPr>
      <w:r>
        <w:rPr>
          <w:rFonts w:eastAsia="Times New Roman" w:cs="Arial" w:ascii="Verdana" w:hAnsi="Verdana"/>
          <w:b/>
          <w:bCs/>
          <w:sz w:val="20"/>
          <w:szCs w:val="20"/>
        </w:rPr>
        <w:t>2.12</w:t>
      </w:r>
      <w:r>
        <w:rPr>
          <w:rFonts w:eastAsia="Times New Roman" w:cs="Arial" w:ascii="Verdana" w:hAnsi="Verdana"/>
          <w:b/>
          <w:sz w:val="20"/>
          <w:szCs w:val="20"/>
        </w:rPr>
        <w:t xml:space="preserve">. </w:t>
      </w:r>
      <w:r>
        <w:rPr>
          <w:rFonts w:cs="Arial" w:ascii="Verdana" w:hAnsi="Verdana"/>
          <w:sz w:val="20"/>
          <w:szCs w:val="20"/>
        </w:rPr>
        <w:t>O recebimento provisório dos produtos não implica em aceitação dos mesmos;</w:t>
      </w:r>
    </w:p>
    <w:p>
      <w:pPr>
        <w:pStyle w:val="Normal"/>
        <w:spacing w:lineRule="auto" w:line="276" w:before="0" w:after="0"/>
        <w:ind w:hanging="0" w:left="0" w:right="0"/>
        <w:jc w:val="both"/>
        <w:rPr/>
      </w:pPr>
      <w:r>
        <w:rPr>
          <w:rFonts w:eastAsia="Times New Roman" w:cs="Arial" w:ascii="Verdana" w:hAnsi="Verdana"/>
          <w:b/>
          <w:bCs/>
          <w:sz w:val="20"/>
          <w:szCs w:val="20"/>
        </w:rPr>
        <w:t>2.13</w:t>
      </w:r>
      <w:r>
        <w:rPr>
          <w:rFonts w:eastAsia="Times New Roman" w:cs="Arial" w:ascii="Verdana" w:hAnsi="Verdana"/>
          <w:b w:val="false"/>
          <w:bCs w:val="false"/>
          <w:sz w:val="20"/>
          <w:szCs w:val="20"/>
        </w:rPr>
        <w:t>.</w:t>
      </w:r>
      <w:r>
        <w:rPr>
          <w:rFonts w:eastAsia="Times New Roman" w:cs="Arial" w:ascii="Verdana" w:hAnsi="Verdana"/>
          <w:b/>
          <w:bCs/>
          <w:sz w:val="20"/>
          <w:szCs w:val="20"/>
        </w:rPr>
        <w:t xml:space="preserve"> </w:t>
      </w:r>
      <w:r>
        <w:rPr>
          <w:rFonts w:cs="Arial" w:ascii="Verdana" w:hAnsi="Verdana"/>
          <w:sz w:val="20"/>
          <w:szCs w:val="20"/>
        </w:rPr>
        <w:t>Os produtos que não estiverem de acordo com as especificações exigidas, apresentem vicio de qualidade ou impropriedade para o uso, serão recusadas e devolvidas parcial ou totalmente, conforme caso, ficando a CONTRATADA, obrigada a substitui-los no prazo de 5 (cinco) dias úteis, contadas do recebimento da notificação escrita, sob pena de incorrer em atraso quanto ao prazo de execução;</w:t>
      </w:r>
    </w:p>
    <w:p>
      <w:pPr>
        <w:pStyle w:val="Normal"/>
        <w:spacing w:lineRule="auto" w:line="276" w:before="0" w:after="0"/>
        <w:ind w:hanging="0" w:left="0" w:right="0"/>
        <w:jc w:val="both"/>
        <w:rPr/>
      </w:pPr>
      <w:r>
        <w:rPr>
          <w:rFonts w:eastAsia="Times New Roman" w:cs="Arial" w:ascii="Verdana" w:hAnsi="Verdana"/>
          <w:b/>
          <w:bCs/>
          <w:sz w:val="20"/>
          <w:szCs w:val="20"/>
        </w:rPr>
        <w:t>2.14</w:t>
      </w:r>
      <w:r>
        <w:rPr>
          <w:rFonts w:eastAsia="Times New Roman" w:cs="Arial" w:ascii="Verdana" w:hAnsi="Verdana"/>
          <w:b w:val="false"/>
          <w:bCs w:val="false"/>
          <w:sz w:val="20"/>
          <w:szCs w:val="20"/>
        </w:rPr>
        <w:t>.</w:t>
      </w:r>
      <w:r>
        <w:rPr>
          <w:rFonts w:cs="Arial" w:ascii="Verdana" w:hAnsi="Verdana"/>
          <w:b w:val="false"/>
          <w:bCs w:val="false"/>
          <w:sz w:val="20"/>
          <w:szCs w:val="20"/>
        </w:rPr>
        <w:t xml:space="preserve"> </w:t>
      </w:r>
      <w:r>
        <w:rPr>
          <w:rFonts w:cs="Arial" w:ascii="Verdana" w:hAnsi="Verdana"/>
          <w:sz w:val="20"/>
          <w:szCs w:val="20"/>
        </w:rPr>
        <w:t>Havendo erro na Nota Fiscal ou outra circunstância impeditiva, o recebimento definitivo será suspenso, até que a empresa tome as medidas saneadoras necessárias;</w:t>
      </w:r>
    </w:p>
    <w:p>
      <w:pPr>
        <w:pStyle w:val="Normal"/>
        <w:spacing w:lineRule="auto" w:line="276" w:before="0" w:after="0"/>
        <w:ind w:hanging="0" w:left="0" w:right="0"/>
        <w:jc w:val="both"/>
        <w:rPr>
          <w:rFonts w:ascii="Verdana" w:hAnsi="Verdana"/>
          <w:b/>
          <w:bCs/>
          <w:sz w:val="20"/>
          <w:szCs w:val="20"/>
        </w:rPr>
      </w:pPr>
      <w:r>
        <w:rPr>
          <w:rFonts w:ascii="Verdana" w:hAnsi="Verdana"/>
          <w:b/>
          <w:bCs/>
          <w:sz w:val="20"/>
          <w:szCs w:val="20"/>
        </w:rPr>
        <w:t>2.15 Contato</w:t>
      </w:r>
    </w:p>
    <w:p>
      <w:pPr>
        <w:pStyle w:val="Normal"/>
        <w:spacing w:lineRule="auto" w:line="276" w:before="0" w:after="0"/>
        <w:ind w:hanging="0" w:left="0" w:right="0"/>
        <w:jc w:val="both"/>
        <w:rPr>
          <w:rFonts w:ascii="Verdana" w:hAnsi="Verdana"/>
        </w:rPr>
      </w:pPr>
      <w:r>
        <w:rPr>
          <w:rFonts w:cs="Arial" w:ascii="Verdana" w:hAnsi="Verdana"/>
          <w:b w:val="false"/>
          <w:bCs w:val="false"/>
          <w:sz w:val="20"/>
          <w:szCs w:val="20"/>
        </w:rPr>
        <w:t>Responsável: Secretaria Municipal de Educação</w:t>
      </w:r>
    </w:p>
    <w:p>
      <w:pPr>
        <w:pStyle w:val="Normal"/>
        <w:spacing w:lineRule="auto" w:line="276" w:before="0" w:after="0"/>
        <w:ind w:hanging="0" w:left="0" w:right="0"/>
        <w:jc w:val="both"/>
        <w:rPr>
          <w:rFonts w:ascii="Verdana" w:hAnsi="Verdana"/>
        </w:rPr>
      </w:pPr>
      <w:r>
        <w:rPr>
          <w:rFonts w:cs="Arial" w:ascii="Verdana" w:hAnsi="Verdana"/>
          <w:b w:val="false"/>
          <w:bCs w:val="false"/>
          <w:sz w:val="20"/>
          <w:szCs w:val="20"/>
        </w:rPr>
        <w:t>Telefone: (27) 3727 – 3993</w:t>
      </w:r>
    </w:p>
    <w:p>
      <w:pPr>
        <w:pStyle w:val="Normal"/>
        <w:spacing w:lineRule="auto" w:line="276" w:before="0" w:after="0"/>
        <w:ind w:hanging="0" w:left="0" w:right="0"/>
        <w:jc w:val="both"/>
        <w:rPr/>
      </w:pPr>
      <w:r>
        <w:rPr>
          <w:rFonts w:cs="Arial" w:ascii="Verdana" w:hAnsi="Verdana"/>
          <w:b w:val="false"/>
          <w:bCs w:val="false"/>
          <w:iCs/>
        </w:rPr>
        <w:t xml:space="preserve">Email.: </w:t>
      </w:r>
      <w:r>
        <w:rPr>
          <w:rStyle w:val="InternetLink1"/>
          <w:rFonts w:cs="Arial" w:ascii="Verdana" w:hAnsi="Verdana"/>
          <w:b w:val="false"/>
          <w:bCs w:val="false"/>
          <w:iCs/>
        </w:rPr>
        <w:t>semecsgp@gmail.com</w:t>
      </w:r>
    </w:p>
    <w:p>
      <w:pPr>
        <w:pStyle w:val="Normal"/>
        <w:spacing w:lineRule="auto" w:line="276" w:before="0" w:after="0"/>
        <w:ind w:hanging="0" w:left="0" w:right="0"/>
        <w:jc w:val="both"/>
        <w:rPr>
          <w:rFonts w:cs="Arial"/>
          <w:b w:val="false"/>
          <w:bCs w:val="false"/>
          <w:iCs/>
        </w:rPr>
      </w:pPr>
      <w:r>
        <w:rPr>
          <w:rFonts w:cs="Arial"/>
          <w:b w:val="false"/>
          <w:bCs w:val="false"/>
          <w:iCs/>
        </w:rPr>
      </w:r>
    </w:p>
    <w:p>
      <w:pPr>
        <w:pStyle w:val="Normal"/>
        <w:spacing w:lineRule="auto" w:line="276" w:before="0" w:after="0"/>
        <w:ind w:hanging="0" w:left="0" w:right="0"/>
        <w:jc w:val="both"/>
        <w:rPr>
          <w:rFonts w:ascii="Verdana" w:hAnsi="Verdana" w:cs="Verdana"/>
          <w:b/>
          <w:sz w:val="20"/>
          <w:szCs w:val="20"/>
          <w:u w:val="single"/>
        </w:rPr>
      </w:pPr>
      <w:r>
        <w:rPr>
          <w:rFonts w:cs="Verdana" w:ascii="Verdana" w:hAnsi="Verdana"/>
          <w:b/>
          <w:sz w:val="20"/>
          <w:szCs w:val="20"/>
          <w:u w:val="single"/>
        </w:rPr>
        <w:t>CLÁUSULA TERCEIRA – PAGAMENTO</w:t>
      </w:r>
    </w:p>
    <w:p>
      <w:pPr>
        <w:pStyle w:val="ListParagraph"/>
        <w:tabs>
          <w:tab w:val="clear" w:pos="708"/>
          <w:tab w:val="left" w:pos="434" w:leader="none"/>
        </w:tabs>
        <w:overflowPunct w:val="false"/>
        <w:spacing w:lineRule="auto" w:line="276" w:before="0" w:after="0"/>
        <w:ind w:hanging="0" w:left="0" w:right="0"/>
        <w:jc w:val="both"/>
        <w:textAlignment w:val="auto"/>
        <w:rPr/>
      </w:pPr>
      <w:r>
        <w:rPr>
          <w:rFonts w:cs="Verdana" w:ascii="Verdana" w:hAnsi="Verdana"/>
          <w:b/>
          <w:sz w:val="20"/>
          <w:szCs w:val="20"/>
        </w:rPr>
        <w:t>3.1 –</w:t>
      </w:r>
      <w:r>
        <w:rPr>
          <w:rFonts w:eastAsia="Verdana" w:cs="Verdana" w:ascii="Verdana" w:hAnsi="Verdana"/>
          <w:sz w:val="20"/>
          <w:szCs w:val="20"/>
        </w:rPr>
        <w:t xml:space="preserve"> </w:t>
      </w:r>
      <w:r>
        <w:rPr>
          <w:rFonts w:eastAsia="Verdana" w:cs="Verdana" w:ascii="Verdana" w:hAnsi="Verdana"/>
          <w:b w:val="false"/>
          <w:bCs w:val="false"/>
          <w:sz w:val="20"/>
          <w:szCs w:val="20"/>
          <w:u w:val="none"/>
          <w:lang w:eastAsia="en-US"/>
        </w:rPr>
        <w:t xml:space="preserve">Recebida a Nota Fiscal ou documento de cobrança equivalente, correrá o prazo de </w:t>
      </w:r>
      <w:r>
        <w:rPr>
          <w:rFonts w:eastAsia="Times New Roman" w:cs="Times New Roman" w:ascii="Verdana" w:hAnsi="Verdana"/>
          <w:b w:val="false"/>
          <w:bCs w:val="false"/>
          <w:sz w:val="20"/>
          <w:szCs w:val="20"/>
          <w:u w:val="none"/>
          <w:lang w:eastAsia="en-US"/>
        </w:rPr>
        <w:t>(30) trinta</w:t>
      </w:r>
      <w:r>
        <w:rPr>
          <w:rFonts w:eastAsia="Verdana" w:cs="Verdana" w:ascii="Verdana" w:hAnsi="Verdana"/>
          <w:b w:val="false"/>
          <w:bCs w:val="false"/>
          <w:sz w:val="20"/>
          <w:szCs w:val="20"/>
          <w:u w:val="none"/>
          <w:lang w:eastAsia="en-US"/>
        </w:rPr>
        <w:t xml:space="preserve"> dias úteis para fins de liquidação, na forma desta seção, prorrogáveis por igual período.</w:t>
      </w:r>
    </w:p>
    <w:p>
      <w:pPr>
        <w:pStyle w:val="Normal"/>
        <w:spacing w:lineRule="auto" w:line="276" w:before="0" w:after="0"/>
        <w:ind w:hanging="0" w:left="0" w:right="0"/>
        <w:jc w:val="both"/>
        <w:rPr/>
      </w:pPr>
      <w:r>
        <w:rPr>
          <w:rFonts w:ascii="Verdana" w:hAnsi="Verdana"/>
          <w:b/>
          <w:bCs/>
          <w:sz w:val="20"/>
          <w:szCs w:val="20"/>
          <w:u w:val="none"/>
        </w:rPr>
        <w:t>3.2</w:t>
      </w:r>
      <w:r>
        <w:rPr>
          <w:rFonts w:ascii="Verdana" w:hAnsi="Verdana"/>
          <w:b w:val="false"/>
          <w:bCs w:val="false"/>
          <w:sz w:val="20"/>
          <w:szCs w:val="20"/>
          <w:u w:val="none"/>
        </w:rPr>
        <w:t xml:space="preserve">. O prazo de que trata o item anterior será reduzido à metade, mantendo-se a possibilidade de prorrogação, no caso de contratações decorrentes de despesas cujos valores não ultrapassem o limite de que trata o </w:t>
      </w:r>
      <w:r>
        <w:fldChar w:fldCharType="begin"/>
      </w:r>
      <w:r>
        <w:rPr>
          <w:rStyle w:val="ListLabel65"/>
          <w:sz w:val="20"/>
          <w:u w:val="none"/>
          <w:b w:val="false"/>
          <w:szCs w:val="20"/>
          <w:bCs w:val="false"/>
          <w:rFonts w:ascii="Verdana" w:hAnsi="Verdana"/>
          <w:color w:val="000000"/>
        </w:rPr>
        <w:instrText xml:space="preserve"> HYPERLINK "http://www.planalto.gov.br/ccivil_03/_ato2019-2022/2021/lei/L14133.htm" \l "art75"</w:instrText>
      </w:r>
      <w:r>
        <w:rPr>
          <w:rStyle w:val="ListLabel65"/>
          <w:sz w:val="20"/>
          <w:u w:val="none"/>
          <w:b w:val="false"/>
          <w:szCs w:val="20"/>
          <w:bCs w:val="false"/>
          <w:rFonts w:ascii="Verdana" w:hAnsi="Verdana"/>
          <w:color w:val="000000"/>
        </w:rPr>
        <w:fldChar w:fldCharType="separate"/>
      </w:r>
      <w:r>
        <w:rPr>
          <w:rStyle w:val="ListLabel65"/>
          <w:rFonts w:ascii="Verdana" w:hAnsi="Verdana"/>
          <w:b w:val="false"/>
          <w:bCs w:val="false"/>
          <w:color w:val="000000"/>
          <w:sz w:val="20"/>
          <w:szCs w:val="20"/>
          <w:u w:val="none"/>
        </w:rPr>
        <w:t>inciso II do art. 75 da Lei nº 14.133, de 2021</w:t>
      </w:r>
      <w:r>
        <w:rPr>
          <w:rStyle w:val="ListLabel65"/>
          <w:sz w:val="20"/>
          <w:u w:val="none"/>
          <w:b w:val="false"/>
          <w:szCs w:val="20"/>
          <w:bCs w:val="false"/>
          <w:rFonts w:ascii="Verdana" w:hAnsi="Verdana"/>
          <w:color w:val="000000"/>
        </w:rPr>
        <w:fldChar w:fldCharType="end"/>
      </w:r>
      <w:r>
        <w:rPr>
          <w:rFonts w:ascii="Verdana" w:hAnsi="Verdana"/>
          <w:b w:val="false"/>
          <w:bCs w:val="false"/>
          <w:color w:val="000000"/>
          <w:sz w:val="20"/>
          <w:szCs w:val="20"/>
          <w:u w:val="none"/>
        </w:rPr>
        <w:t>.</w:t>
      </w:r>
    </w:p>
    <w:p>
      <w:pPr>
        <w:pStyle w:val="Normal"/>
        <w:spacing w:lineRule="auto" w:line="276" w:before="0" w:after="0"/>
        <w:ind w:hanging="0" w:left="0" w:right="0"/>
        <w:jc w:val="both"/>
        <w:rPr/>
      </w:pPr>
      <w:r>
        <w:rPr>
          <w:rFonts w:ascii="Verdana" w:hAnsi="Verdana"/>
          <w:b/>
          <w:bCs/>
          <w:sz w:val="20"/>
          <w:szCs w:val="20"/>
          <w:u w:val="none"/>
        </w:rPr>
        <w:t>3.3</w:t>
      </w:r>
      <w:r>
        <w:rPr>
          <w:rFonts w:ascii="Verdana" w:hAnsi="Verdana"/>
          <w:b w:val="false"/>
          <w:bCs w:val="false"/>
          <w:sz w:val="20"/>
          <w:szCs w:val="20"/>
          <w:u w:val="none"/>
        </w:rPr>
        <w:t xml:space="preserve">. Para fins de liquidação, o setor competente deverá verificar se a nota fiscal ou instrumento de cobrança equivalente apresentado expressa os elementos necessários e essenciais do documento, tais como: </w:t>
      </w:r>
    </w:p>
    <w:p>
      <w:pPr>
        <w:pStyle w:val="Normal"/>
        <w:widowControl/>
        <w:numPr>
          <w:ilvl w:val="0"/>
          <w:numId w:val="7"/>
        </w:numPr>
        <w:tabs>
          <w:tab w:val="clear" w:pos="708"/>
          <w:tab w:val="left" w:pos="1185" w:leader="none"/>
          <w:tab w:val="left" w:pos="1530" w:leader="none"/>
        </w:tabs>
        <w:suppressAutoHyphens w:val="true"/>
        <w:bidi w:val="0"/>
        <w:spacing w:lineRule="auto" w:line="276" w:before="0" w:after="0"/>
        <w:ind w:hanging="0" w:left="454" w:right="0"/>
        <w:jc w:val="both"/>
        <w:textAlignment w:val="baseline"/>
        <w:rPr>
          <w:rFonts w:ascii="Verdana" w:hAnsi="Verdana"/>
          <w:b w:val="false"/>
          <w:bCs w:val="false"/>
          <w:sz w:val="20"/>
          <w:szCs w:val="20"/>
          <w:u w:val="none"/>
        </w:rPr>
      </w:pPr>
      <w:r>
        <w:rPr>
          <w:rFonts w:ascii="Verdana" w:hAnsi="Verdana"/>
          <w:b w:val="false"/>
          <w:bCs w:val="false"/>
          <w:sz w:val="20"/>
          <w:szCs w:val="20"/>
          <w:u w:val="none"/>
        </w:rPr>
        <w:t>O prazo de validade;</w:t>
      </w:r>
    </w:p>
    <w:p>
      <w:pPr>
        <w:pStyle w:val="Normal"/>
        <w:widowControl/>
        <w:numPr>
          <w:ilvl w:val="0"/>
          <w:numId w:val="7"/>
        </w:numPr>
        <w:tabs>
          <w:tab w:val="clear" w:pos="708"/>
          <w:tab w:val="left" w:pos="1185" w:leader="none"/>
          <w:tab w:val="left" w:pos="1530" w:leader="none"/>
        </w:tabs>
        <w:suppressAutoHyphens w:val="true"/>
        <w:bidi w:val="0"/>
        <w:spacing w:lineRule="auto" w:line="276" w:before="0" w:after="0"/>
        <w:ind w:hanging="0" w:left="454" w:right="0"/>
        <w:jc w:val="both"/>
        <w:textAlignment w:val="baseline"/>
        <w:rPr>
          <w:rFonts w:ascii="Verdana" w:hAnsi="Verdana"/>
          <w:b w:val="false"/>
          <w:bCs w:val="false"/>
          <w:sz w:val="20"/>
          <w:szCs w:val="20"/>
          <w:u w:val="none"/>
        </w:rPr>
      </w:pPr>
      <w:r>
        <w:rPr>
          <w:rFonts w:ascii="Verdana" w:hAnsi="Verdana"/>
          <w:b w:val="false"/>
          <w:bCs w:val="false"/>
          <w:sz w:val="20"/>
          <w:szCs w:val="20"/>
          <w:u w:val="none"/>
        </w:rPr>
        <w:t xml:space="preserve">A data da emissão; </w:t>
      </w:r>
    </w:p>
    <w:p>
      <w:pPr>
        <w:pStyle w:val="Normal"/>
        <w:widowControl/>
        <w:numPr>
          <w:ilvl w:val="0"/>
          <w:numId w:val="7"/>
        </w:numPr>
        <w:tabs>
          <w:tab w:val="clear" w:pos="708"/>
          <w:tab w:val="left" w:pos="1185" w:leader="none"/>
          <w:tab w:val="left" w:pos="1530" w:leader="none"/>
        </w:tabs>
        <w:suppressAutoHyphens w:val="true"/>
        <w:bidi w:val="0"/>
        <w:spacing w:lineRule="auto" w:line="276" w:before="0" w:after="0"/>
        <w:ind w:hanging="0" w:left="454" w:right="0"/>
        <w:jc w:val="both"/>
        <w:textAlignment w:val="baseline"/>
        <w:rPr>
          <w:rFonts w:ascii="Verdana" w:hAnsi="Verdana"/>
          <w:b w:val="false"/>
          <w:bCs w:val="false"/>
          <w:sz w:val="20"/>
          <w:szCs w:val="20"/>
          <w:u w:val="none"/>
        </w:rPr>
      </w:pPr>
      <w:r>
        <w:rPr>
          <w:rFonts w:ascii="Verdana" w:hAnsi="Verdana"/>
          <w:b w:val="false"/>
          <w:bCs w:val="false"/>
          <w:sz w:val="20"/>
          <w:szCs w:val="20"/>
          <w:u w:val="none"/>
        </w:rPr>
        <w:t xml:space="preserve">Os dados do contrato e do órgão contratante; </w:t>
      </w:r>
    </w:p>
    <w:p>
      <w:pPr>
        <w:pStyle w:val="Normal"/>
        <w:widowControl/>
        <w:numPr>
          <w:ilvl w:val="0"/>
          <w:numId w:val="7"/>
        </w:numPr>
        <w:tabs>
          <w:tab w:val="clear" w:pos="708"/>
          <w:tab w:val="left" w:pos="1185" w:leader="none"/>
          <w:tab w:val="left" w:pos="1530" w:leader="none"/>
        </w:tabs>
        <w:suppressAutoHyphens w:val="true"/>
        <w:bidi w:val="0"/>
        <w:spacing w:lineRule="auto" w:line="276" w:before="0" w:after="0"/>
        <w:ind w:hanging="0" w:left="454" w:right="0"/>
        <w:jc w:val="both"/>
        <w:textAlignment w:val="baseline"/>
        <w:rPr>
          <w:rFonts w:ascii="Verdana" w:hAnsi="Verdana"/>
          <w:b w:val="false"/>
          <w:bCs w:val="false"/>
          <w:sz w:val="20"/>
          <w:szCs w:val="20"/>
          <w:u w:val="none"/>
        </w:rPr>
      </w:pPr>
      <w:r>
        <w:rPr>
          <w:rFonts w:ascii="Verdana" w:hAnsi="Verdana"/>
          <w:b w:val="false"/>
          <w:bCs w:val="false"/>
          <w:sz w:val="20"/>
          <w:szCs w:val="20"/>
          <w:u w:val="none"/>
        </w:rPr>
        <w:t xml:space="preserve">O período respectivo de execução do contrato; </w:t>
      </w:r>
    </w:p>
    <w:p>
      <w:pPr>
        <w:pStyle w:val="Normal"/>
        <w:widowControl/>
        <w:numPr>
          <w:ilvl w:val="0"/>
          <w:numId w:val="7"/>
        </w:numPr>
        <w:tabs>
          <w:tab w:val="clear" w:pos="708"/>
          <w:tab w:val="left" w:pos="1185" w:leader="none"/>
          <w:tab w:val="left" w:pos="1530" w:leader="none"/>
        </w:tabs>
        <w:suppressAutoHyphens w:val="true"/>
        <w:bidi w:val="0"/>
        <w:spacing w:lineRule="auto" w:line="276" w:before="0" w:after="0"/>
        <w:ind w:hanging="0" w:left="454" w:right="0"/>
        <w:jc w:val="both"/>
        <w:textAlignment w:val="baseline"/>
        <w:rPr>
          <w:rFonts w:ascii="Verdana" w:hAnsi="Verdana"/>
          <w:b w:val="false"/>
          <w:bCs w:val="false"/>
          <w:sz w:val="20"/>
          <w:szCs w:val="20"/>
          <w:u w:val="none"/>
        </w:rPr>
      </w:pPr>
      <w:r>
        <w:rPr>
          <w:rFonts w:ascii="Verdana" w:hAnsi="Verdana"/>
          <w:b w:val="false"/>
          <w:bCs w:val="false"/>
          <w:sz w:val="20"/>
          <w:szCs w:val="20"/>
          <w:u w:val="none"/>
        </w:rPr>
        <w:t xml:space="preserve">O valor a pagar; e </w:t>
      </w:r>
    </w:p>
    <w:p>
      <w:pPr>
        <w:pStyle w:val="Normal"/>
        <w:widowControl/>
        <w:numPr>
          <w:ilvl w:val="0"/>
          <w:numId w:val="7"/>
        </w:numPr>
        <w:tabs>
          <w:tab w:val="clear" w:pos="708"/>
          <w:tab w:val="left" w:pos="1185" w:leader="none"/>
          <w:tab w:val="left" w:pos="1530" w:leader="none"/>
        </w:tabs>
        <w:suppressAutoHyphens w:val="true"/>
        <w:bidi w:val="0"/>
        <w:spacing w:lineRule="auto" w:line="276" w:before="0" w:after="0"/>
        <w:ind w:hanging="0" w:left="454" w:right="0"/>
        <w:jc w:val="both"/>
        <w:textAlignment w:val="baseline"/>
        <w:rPr>
          <w:rFonts w:ascii="Verdana" w:hAnsi="Verdana"/>
          <w:b w:val="false"/>
          <w:bCs w:val="false"/>
          <w:sz w:val="20"/>
          <w:szCs w:val="20"/>
          <w:u w:val="none"/>
        </w:rPr>
      </w:pPr>
      <w:r>
        <w:rPr>
          <w:rFonts w:ascii="Verdana" w:hAnsi="Verdana"/>
          <w:b w:val="false"/>
          <w:bCs w:val="false"/>
          <w:sz w:val="20"/>
          <w:szCs w:val="20"/>
          <w:u w:val="none"/>
        </w:rPr>
        <w:t>Eventual destaque do valor de retenções tributárias cabíveis.</w:t>
      </w:r>
    </w:p>
    <w:p>
      <w:pPr>
        <w:pStyle w:val="Normal"/>
        <w:tabs>
          <w:tab w:val="clear" w:pos="708"/>
          <w:tab w:val="left" w:pos="0" w:leader="none"/>
          <w:tab w:val="left" w:pos="563" w:leader="none"/>
        </w:tabs>
        <w:spacing w:lineRule="auto" w:line="276" w:before="0" w:after="0"/>
        <w:ind w:hanging="0" w:left="0" w:right="0"/>
        <w:jc w:val="both"/>
        <w:rPr/>
      </w:pPr>
      <w:r>
        <w:rPr>
          <w:rFonts w:ascii="Verdana" w:hAnsi="Verdana"/>
          <w:b/>
          <w:bCs/>
          <w:sz w:val="20"/>
          <w:szCs w:val="20"/>
          <w:u w:val="none"/>
        </w:rPr>
        <w:t>3.4</w:t>
      </w:r>
      <w:r>
        <w:rPr>
          <w:rFonts w:ascii="Verdana" w:hAnsi="Verdana"/>
          <w:b w:val="false"/>
          <w:bCs w:val="false"/>
          <w:sz w:val="20"/>
          <w:szCs w:val="20"/>
          <w:u w:val="none"/>
        </w:rPr>
        <w:t>.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276" w:before="0" w:after="0"/>
        <w:ind w:hanging="0" w:left="0" w:right="0"/>
        <w:jc w:val="both"/>
        <w:rPr/>
      </w:pPr>
      <w:r>
        <w:rPr>
          <w:rFonts w:ascii="Verdana" w:hAnsi="Verdana"/>
          <w:b/>
          <w:bCs/>
          <w:sz w:val="20"/>
          <w:szCs w:val="20"/>
          <w:u w:val="none"/>
        </w:rPr>
        <w:t>3.5</w:t>
      </w:r>
      <w:r>
        <w:rPr>
          <w:rFonts w:ascii="Verdana" w:hAnsi="Verdana"/>
          <w:b w:val="false"/>
          <w:bCs w:val="false"/>
          <w:sz w:val="20"/>
          <w:szCs w:val="20"/>
          <w:u w:val="none"/>
        </w:rPr>
        <w:t>. A</w:t>
      </w:r>
      <w:r>
        <w:rPr>
          <w:rFonts w:ascii="Verdana" w:hAnsi="Verdana"/>
          <w:b w:val="false"/>
          <w:bCs w:val="false"/>
          <w:sz w:val="20"/>
          <w:szCs w:val="20"/>
          <w:u w:val="none"/>
          <w:lang w:eastAsia="en-US"/>
        </w:rPr>
        <w:t xml:space="preserve"> nota fiscal ou instrumento de cobrança equivalente deverá ser obrigatoriamente acompanhado da comprovação da regularidade fiscal</w:t>
      </w:r>
      <w:r>
        <w:rPr>
          <w:rStyle w:val="InternetLink"/>
          <w:rFonts w:ascii="Verdana" w:hAnsi="Verdana"/>
          <w:b w:val="false"/>
          <w:bCs w:val="false"/>
          <w:sz w:val="20"/>
          <w:szCs w:val="20"/>
          <w:u w:val="none"/>
          <w:lang w:eastAsia="en-US"/>
        </w:rPr>
        <w:t>.</w:t>
      </w:r>
    </w:p>
    <w:p>
      <w:pPr>
        <w:pStyle w:val="Normal"/>
        <w:spacing w:lineRule="auto" w:line="276" w:before="0" w:after="0"/>
        <w:ind w:hanging="0" w:left="0" w:right="0"/>
        <w:jc w:val="both"/>
        <w:rPr>
          <w:rFonts w:ascii="Verdana" w:hAnsi="Verdana"/>
          <w:b w:val="false"/>
          <w:bCs w:val="false"/>
          <w:sz w:val="20"/>
          <w:szCs w:val="20"/>
          <w:u w:val="none"/>
        </w:rPr>
      </w:pPr>
      <w:r>
        <w:rPr>
          <w:rFonts w:ascii="Verdana" w:hAnsi="Verdana"/>
          <w:b w:val="false"/>
          <w:bCs w:val="false"/>
          <w:sz w:val="20"/>
          <w:szCs w:val="20"/>
          <w:u w:val="none"/>
        </w:rPr>
        <w:t>3.6. O pagamento será efetuado no prazo de até 30 (trinta) dias úteis contados da finalização da liquidação da despesa.</w:t>
      </w:r>
    </w:p>
    <w:p>
      <w:pPr>
        <w:pStyle w:val="Normal"/>
        <w:spacing w:lineRule="auto" w:line="276" w:before="0" w:after="0"/>
        <w:ind w:hanging="0" w:left="0" w:right="0"/>
        <w:jc w:val="both"/>
        <w:rPr/>
      </w:pPr>
      <w:r>
        <w:rPr>
          <w:rFonts w:ascii="Verdana" w:hAnsi="Verdana"/>
          <w:b/>
          <w:bCs/>
          <w:sz w:val="20"/>
          <w:szCs w:val="20"/>
          <w:u w:val="none"/>
        </w:rPr>
        <w:t>3.7</w:t>
      </w:r>
      <w:r>
        <w:rPr>
          <w:rFonts w:ascii="Verdana" w:hAnsi="Verdana"/>
          <w:b w:val="false"/>
          <w:bCs w:val="false"/>
          <w:sz w:val="20"/>
          <w:szCs w:val="20"/>
          <w:u w:val="none"/>
        </w:rPr>
        <w:t>. O pagamento será realizado por meio de ordem bancária, para crédito em banco, agência e conta corrente indicados pelo contratado.</w:t>
      </w:r>
    </w:p>
    <w:p>
      <w:pPr>
        <w:pStyle w:val="Normal"/>
        <w:spacing w:lineRule="auto" w:line="276" w:before="0" w:after="0"/>
        <w:ind w:hanging="0" w:left="0" w:right="0"/>
        <w:jc w:val="both"/>
        <w:rPr/>
      </w:pPr>
      <w:r>
        <w:rPr>
          <w:rFonts w:ascii="Verdana" w:hAnsi="Verdana"/>
          <w:b/>
          <w:bCs/>
          <w:sz w:val="20"/>
          <w:szCs w:val="20"/>
          <w:u w:val="none"/>
        </w:rPr>
        <w:t>3.8</w:t>
      </w:r>
      <w:r>
        <w:rPr>
          <w:rFonts w:ascii="Verdana" w:hAnsi="Verdana"/>
          <w:b w:val="false"/>
          <w:bCs w:val="false"/>
          <w:sz w:val="20"/>
          <w:szCs w:val="20"/>
          <w:u w:val="none"/>
        </w:rPr>
        <w:t>. Será considerada data do pagamento o dia em que constar como emitida a ordem bancária para pagamento.</w:t>
      </w:r>
    </w:p>
    <w:p>
      <w:pPr>
        <w:pStyle w:val="Normal"/>
        <w:spacing w:lineRule="auto" w:line="276" w:before="0" w:after="0"/>
        <w:ind w:hanging="0" w:left="0" w:right="0"/>
        <w:jc w:val="both"/>
        <w:rPr/>
      </w:pPr>
      <w:r>
        <w:rPr>
          <w:rFonts w:ascii="Verdana" w:hAnsi="Verdana"/>
          <w:b/>
          <w:bCs/>
          <w:sz w:val="20"/>
          <w:szCs w:val="20"/>
          <w:u w:val="none"/>
        </w:rPr>
        <w:t>3.9</w:t>
      </w:r>
      <w:r>
        <w:rPr>
          <w:rFonts w:ascii="Verdana" w:hAnsi="Verdana"/>
          <w:b w:val="false"/>
          <w:bCs w:val="false"/>
          <w:sz w:val="20"/>
          <w:szCs w:val="20"/>
          <w:u w:val="none"/>
        </w:rPr>
        <w:t>. Quando do pagamento, será efetuada a retenção tributária prevista na legislação aplicável.</w:t>
      </w:r>
    </w:p>
    <w:p>
      <w:pPr>
        <w:pStyle w:val="Normal"/>
        <w:spacing w:lineRule="auto" w:line="276" w:before="0" w:after="0"/>
        <w:ind w:hanging="0" w:left="0" w:right="0"/>
        <w:jc w:val="both"/>
        <w:rPr/>
      </w:pPr>
      <w:r>
        <w:rPr>
          <w:rFonts w:ascii="Verdana" w:hAnsi="Verdana"/>
          <w:b/>
          <w:bCs/>
          <w:sz w:val="20"/>
          <w:szCs w:val="20"/>
          <w:u w:val="none"/>
          <w:lang w:eastAsia="en-US"/>
        </w:rPr>
        <w:t>3.10</w:t>
      </w:r>
      <w:r>
        <w:rPr>
          <w:rFonts w:ascii="Verdana" w:hAnsi="Verdana"/>
          <w:b w:val="false"/>
          <w:bCs w:val="false"/>
          <w:sz w:val="20"/>
          <w:szCs w:val="20"/>
          <w:u w:val="none"/>
          <w:lang w:eastAsia="en-US"/>
        </w:rPr>
        <w:t xml:space="preserve">. O contratado regularmente optante pelo Simples Nacional, nos termos da </w:t>
      </w:r>
      <w:hyperlink r:id="rId2">
        <w:r>
          <w:rPr>
            <w:rStyle w:val="ListLabel66"/>
            <w:rFonts w:ascii="Verdana" w:hAnsi="Verdana"/>
            <w:b w:val="false"/>
            <w:bCs w:val="false"/>
            <w:sz w:val="20"/>
            <w:szCs w:val="20"/>
            <w:u w:val="none"/>
            <w:lang w:eastAsia="en-US"/>
          </w:rPr>
          <w:t>Lei Complementar nº 123, de 2006</w:t>
        </w:r>
      </w:hyperlink>
      <w:r>
        <w:rPr>
          <w:rFonts w:ascii="Verdana" w:hAnsi="Verdana"/>
          <w:b w:val="false"/>
          <w:bCs w:val="false"/>
          <w:sz w:val="20"/>
          <w:szCs w:val="20"/>
          <w:u w:val="none"/>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276" w:before="0" w:after="0"/>
        <w:ind w:hanging="0" w:left="0" w:right="0"/>
        <w:jc w:val="both"/>
        <w:rPr/>
      </w:pPr>
      <w:r>
        <w:rPr>
          <w:rFonts w:ascii="Verdana" w:hAnsi="Verdana"/>
          <w:b/>
          <w:bCs/>
          <w:sz w:val="20"/>
          <w:szCs w:val="20"/>
          <w:u w:val="none"/>
          <w:lang w:eastAsia="en-US"/>
        </w:rPr>
        <w:t>3.11</w:t>
      </w:r>
      <w:r>
        <w:rPr>
          <w:rFonts w:ascii="Verdana" w:hAnsi="Verdana"/>
          <w:b w:val="false"/>
          <w:bCs w:val="false"/>
          <w:sz w:val="20"/>
          <w:szCs w:val="20"/>
          <w:u w:val="none"/>
          <w:lang w:eastAsia="en-US"/>
        </w:rPr>
        <w:t>.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PargrafodaLista"/>
        <w:tabs>
          <w:tab w:val="clear" w:pos="708"/>
          <w:tab w:val="left" w:pos="518" w:leader="none"/>
        </w:tabs>
        <w:spacing w:lineRule="auto" w:line="276" w:before="0" w:after="0"/>
        <w:ind w:hanging="0" w:left="0" w:right="0"/>
        <w:contextualSpacing w:val="false"/>
        <w:jc w:val="both"/>
        <w:rPr/>
      </w:pPr>
      <w:r>
        <w:rPr>
          <w:rFonts w:ascii="Verdana" w:hAnsi="Verdana"/>
          <w:b/>
          <w:bCs/>
          <w:color w:val="000000"/>
          <w:sz w:val="20"/>
          <w:szCs w:val="20"/>
          <w:u w:val="none"/>
        </w:rPr>
        <w:t>13.12</w:t>
      </w:r>
      <w:r>
        <w:rPr>
          <w:rFonts w:ascii="Verdana" w:hAnsi="Verdana"/>
          <w:b w:val="false"/>
          <w:bCs w:val="false"/>
          <w:color w:val="000000"/>
          <w:sz w:val="20"/>
          <w:szCs w:val="20"/>
          <w:u w:val="none"/>
        </w:rPr>
        <w:t xml:space="preserve">. </w:t>
      </w:r>
      <w:r>
        <w:rPr>
          <w:rFonts w:ascii="Verdana" w:hAnsi="Verdana"/>
          <w:b w:val="false"/>
          <w:bCs w:val="false"/>
          <w:sz w:val="20"/>
          <w:szCs w:val="20"/>
          <w:u w:val="none"/>
        </w:rPr>
        <w:t>Após o pra</w:t>
      </w:r>
      <w:r>
        <w:rPr>
          <w:rFonts w:ascii="Verdana" w:hAnsi="Verdana"/>
          <w:sz w:val="20"/>
          <w:szCs w:val="20"/>
          <w:u w:val="none"/>
        </w:rPr>
        <w:t>zo acima referenciado, será paga multa financeira nos seguintes termos:</w:t>
      </w:r>
    </w:p>
    <w:p>
      <w:pPr>
        <w:pStyle w:val="PargrafodaLista"/>
        <w:tabs>
          <w:tab w:val="clear" w:pos="708"/>
          <w:tab w:val="left" w:pos="518" w:leader="none"/>
        </w:tabs>
        <w:spacing w:lineRule="auto" w:line="276" w:before="0" w:after="0"/>
        <w:ind w:hanging="0" w:left="0" w:right="0"/>
        <w:contextualSpacing w:val="false"/>
        <w:jc w:val="center"/>
        <w:rPr/>
      </w:pPr>
      <w:r>
        <w:rPr>
          <w:rFonts w:cs="Verdana" w:ascii="Verdana" w:hAnsi="Verdana"/>
          <w:sz w:val="20"/>
          <w:szCs w:val="20"/>
          <w:u w:val="none"/>
        </w:rPr>
        <w:t xml:space="preserve">VM = VF </w:t>
      </w:r>
      <w:r>
        <w:rPr>
          <w:rFonts w:cs="Verdana" w:ascii="Verdana" w:hAnsi="Verdana"/>
          <w:sz w:val="20"/>
          <w:szCs w:val="20"/>
          <w:u w:val="none"/>
          <w:vertAlign w:val="subscript"/>
        </w:rPr>
        <w:t>*</w:t>
      </w:r>
      <w:r>
        <w:rPr>
          <w:rFonts w:cs="Verdana" w:ascii="Verdana" w:hAnsi="Verdana"/>
          <w:sz w:val="20"/>
          <w:szCs w:val="20"/>
          <w:u w:val="none"/>
        </w:rPr>
        <w:t xml:space="preserve"> </w:t>
      </w:r>
      <w:r>
        <w:rPr>
          <w:rFonts w:cs="Verdana" w:ascii="Verdana" w:hAnsi="Verdana"/>
          <w:sz w:val="20"/>
          <w:szCs w:val="20"/>
          <w:u w:val="single"/>
        </w:rPr>
        <w:t>0,33</w:t>
      </w:r>
      <w:r>
        <w:rPr>
          <w:rFonts w:cs="Verdana" w:ascii="Verdana" w:hAnsi="Verdana"/>
          <w:sz w:val="20"/>
          <w:szCs w:val="20"/>
          <w:u w:val="none"/>
        </w:rPr>
        <w:t xml:space="preserve"> </w:t>
      </w:r>
      <w:r>
        <w:rPr>
          <w:rFonts w:cs="Verdana" w:ascii="Verdana" w:hAnsi="Verdana"/>
          <w:sz w:val="20"/>
          <w:szCs w:val="20"/>
          <w:u w:val="none"/>
          <w:vertAlign w:val="subscript"/>
        </w:rPr>
        <w:t>*</w:t>
      </w:r>
      <w:r>
        <w:rPr>
          <w:rFonts w:cs="Verdana" w:ascii="Verdana" w:hAnsi="Verdana"/>
          <w:sz w:val="20"/>
          <w:szCs w:val="20"/>
          <w:u w:val="none"/>
        </w:rPr>
        <w:t xml:space="preserve"> ND</w:t>
      </w:r>
    </w:p>
    <w:p>
      <w:pPr>
        <w:pStyle w:val="PargrafodaLista"/>
        <w:tabs>
          <w:tab w:val="clear" w:pos="708"/>
          <w:tab w:val="left" w:pos="518" w:leader="none"/>
        </w:tabs>
        <w:spacing w:lineRule="auto" w:line="276" w:before="0" w:after="0"/>
        <w:ind w:hanging="0" w:left="0" w:right="0"/>
        <w:contextualSpacing w:val="false"/>
        <w:jc w:val="center"/>
        <w:rPr/>
      </w:pPr>
      <w:r>
        <w:rPr>
          <w:rFonts w:eastAsia="Verdana" w:cs="Verdana" w:ascii="Verdana" w:hAnsi="Verdana"/>
          <w:sz w:val="20"/>
          <w:szCs w:val="20"/>
          <w:u w:val="none"/>
        </w:rPr>
        <w:t xml:space="preserve">        </w:t>
      </w:r>
      <w:r>
        <w:rPr>
          <w:rFonts w:cs="Verdana" w:ascii="Verdana" w:hAnsi="Verdana"/>
          <w:sz w:val="20"/>
          <w:szCs w:val="20"/>
          <w:u w:val="none"/>
        </w:rPr>
        <w:t>100</w:t>
      </w:r>
    </w:p>
    <w:p>
      <w:pPr>
        <w:pStyle w:val="Normal"/>
        <w:suppressAutoHyphens w:val="false"/>
        <w:spacing w:lineRule="auto" w:line="276" w:before="0" w:after="0"/>
        <w:ind w:hanging="0" w:left="0" w:right="0"/>
        <w:rPr>
          <w:rFonts w:ascii="Verdana" w:hAnsi="Verdana" w:cs="Arial"/>
          <w:color w:val="000000"/>
          <w:sz w:val="20"/>
          <w:szCs w:val="20"/>
          <w:u w:val="none"/>
        </w:rPr>
      </w:pPr>
      <w:r>
        <w:rPr>
          <w:rFonts w:cs="Arial" w:ascii="Verdana" w:hAnsi="Verdana"/>
          <w:color w:val="000000"/>
          <w:sz w:val="20"/>
          <w:szCs w:val="20"/>
          <w:u w:val="none"/>
        </w:rPr>
        <w:t xml:space="preserve">Onde: </w:t>
      </w:r>
    </w:p>
    <w:p>
      <w:pPr>
        <w:pStyle w:val="Normal"/>
        <w:suppressAutoHyphens w:val="false"/>
        <w:spacing w:lineRule="auto" w:line="276" w:before="0" w:after="0"/>
        <w:ind w:hanging="0" w:left="0" w:right="0"/>
        <w:rPr>
          <w:rFonts w:ascii="Verdana" w:hAnsi="Verdana" w:cs="Arial"/>
          <w:color w:val="000000"/>
          <w:sz w:val="20"/>
          <w:szCs w:val="20"/>
          <w:u w:val="none"/>
        </w:rPr>
      </w:pPr>
      <w:r>
        <w:rPr>
          <w:rFonts w:cs="Arial" w:ascii="Verdana" w:hAnsi="Verdana"/>
          <w:color w:val="000000"/>
          <w:sz w:val="20"/>
          <w:szCs w:val="20"/>
          <w:u w:val="none"/>
        </w:rPr>
        <w:t xml:space="preserve">VM = Valor da Multa Financeira; </w:t>
      </w:r>
    </w:p>
    <w:p>
      <w:pPr>
        <w:pStyle w:val="Normal"/>
        <w:suppressAutoHyphens w:val="false"/>
        <w:spacing w:lineRule="auto" w:line="276" w:before="0" w:after="0"/>
        <w:ind w:hanging="0" w:left="0" w:right="0"/>
        <w:rPr>
          <w:rFonts w:ascii="Verdana" w:hAnsi="Verdana" w:cs="Arial"/>
          <w:color w:val="000000"/>
          <w:sz w:val="20"/>
          <w:szCs w:val="20"/>
          <w:u w:val="none"/>
        </w:rPr>
      </w:pPr>
      <w:r>
        <w:rPr>
          <w:rFonts w:cs="Arial" w:ascii="Verdana" w:hAnsi="Verdana"/>
          <w:color w:val="000000"/>
          <w:sz w:val="20"/>
          <w:szCs w:val="20"/>
          <w:u w:val="none"/>
        </w:rPr>
        <w:t xml:space="preserve">VF = Valor da Nota Fiscal; </w:t>
      </w:r>
    </w:p>
    <w:p>
      <w:pPr>
        <w:pStyle w:val="PargrafodaLista"/>
        <w:tabs>
          <w:tab w:val="clear" w:pos="708"/>
          <w:tab w:val="left" w:pos="518" w:leader="none"/>
        </w:tabs>
        <w:spacing w:lineRule="auto" w:line="276" w:before="0" w:after="0"/>
        <w:ind w:hanging="0" w:left="0" w:right="0"/>
        <w:contextualSpacing w:val="false"/>
        <w:rPr>
          <w:rFonts w:ascii="Verdana" w:hAnsi="Verdana" w:eastAsia="Times New Roman" w:cs="Arial"/>
          <w:color w:val="000000"/>
          <w:sz w:val="20"/>
          <w:szCs w:val="20"/>
          <w:u w:val="none"/>
        </w:rPr>
      </w:pPr>
      <w:r>
        <w:rPr>
          <w:rFonts w:eastAsia="Times New Roman" w:cs="Arial" w:ascii="Verdana" w:hAnsi="Verdana"/>
          <w:color w:val="000000"/>
          <w:sz w:val="20"/>
          <w:szCs w:val="20"/>
          <w:u w:val="none"/>
        </w:rPr>
        <w:t>ND = Número de dias em atraso.</w:t>
      </w:r>
    </w:p>
    <w:p>
      <w:pPr>
        <w:pStyle w:val="PargrafodaLista"/>
        <w:tabs>
          <w:tab w:val="clear" w:pos="708"/>
          <w:tab w:val="left" w:pos="518" w:leader="none"/>
        </w:tabs>
        <w:spacing w:lineRule="auto" w:line="276" w:before="0" w:after="0"/>
        <w:ind w:hanging="0" w:left="0" w:right="0"/>
        <w:contextualSpacing w:val="false"/>
        <w:jc w:val="both"/>
        <w:rPr/>
      </w:pPr>
      <w:r>
        <w:rPr>
          <w:rFonts w:eastAsia="Times New Roman" w:cs="Arial" w:ascii="Verdana" w:hAnsi="Verdana"/>
          <w:b/>
          <w:bCs/>
          <w:color w:val="000000"/>
          <w:sz w:val="20"/>
          <w:szCs w:val="20"/>
          <w:u w:val="none"/>
        </w:rPr>
        <w:t>3.13</w:t>
      </w:r>
      <w:r>
        <w:rPr>
          <w:rFonts w:eastAsia="Times New Roman" w:cs="Arial" w:ascii="Verdana" w:hAnsi="Verdana"/>
          <w:b w:val="false"/>
          <w:bCs w:val="false"/>
          <w:color w:val="000000"/>
          <w:sz w:val="20"/>
          <w:szCs w:val="20"/>
          <w:u w:val="none"/>
        </w:rPr>
        <w:t xml:space="preserve">. </w:t>
      </w:r>
      <w:r>
        <w:rPr>
          <w:rFonts w:cs="Arial" w:ascii="Verdana" w:hAnsi="Verdana"/>
          <w:b w:val="false"/>
          <w:bCs w:val="false"/>
          <w:color w:val="000000"/>
          <w:sz w:val="20"/>
          <w:szCs w:val="20"/>
          <w:u w:val="none"/>
        </w:rPr>
        <w:t>A NOTA FISCAL ELETRÔNICA deverá conter o mesmo CNPJ e razão social, apresentados quando na proposta, assim como, o número da contratação, o (s) objeto (s), os valores unitários e totais.</w:t>
      </w:r>
    </w:p>
    <w:p>
      <w:pPr>
        <w:pStyle w:val="PargrafodaLista"/>
        <w:tabs>
          <w:tab w:val="clear" w:pos="708"/>
          <w:tab w:val="left" w:pos="518" w:leader="none"/>
        </w:tabs>
        <w:spacing w:lineRule="auto" w:line="276" w:before="0" w:after="0"/>
        <w:ind w:hanging="0" w:left="0" w:right="0"/>
        <w:contextualSpacing w:val="false"/>
        <w:jc w:val="both"/>
        <w:rPr/>
      </w:pPr>
      <w:r>
        <w:rPr>
          <w:rFonts w:eastAsia="Times New Roman" w:cs="Arial" w:ascii="Verdana" w:hAnsi="Verdana"/>
          <w:b/>
          <w:bCs/>
          <w:color w:val="000000"/>
          <w:sz w:val="20"/>
          <w:szCs w:val="20"/>
          <w:u w:val="none"/>
        </w:rPr>
        <w:t>3.14</w:t>
      </w:r>
      <w:r>
        <w:rPr>
          <w:rFonts w:eastAsia="Times New Roman" w:cs="Arial" w:ascii="Verdana" w:hAnsi="Verdana"/>
          <w:b w:val="false"/>
          <w:bCs w:val="false"/>
          <w:color w:val="000000"/>
          <w:sz w:val="20"/>
          <w:szCs w:val="20"/>
          <w:u w:val="none"/>
        </w:rPr>
        <w:t>.</w:t>
      </w:r>
      <w:r>
        <w:rPr>
          <w:rFonts w:cs="Arial" w:ascii="Verdana" w:hAnsi="Verdana"/>
          <w:b w:val="false"/>
          <w:bCs w:val="false"/>
          <w:color w:val="000000"/>
          <w:sz w:val="20"/>
          <w:szCs w:val="20"/>
          <w:u w:val="none"/>
        </w:rPr>
        <w:t xml:space="preserve"> Qualquer alteração feita no contrato social, ato constitutivo ou estatuto deverá ser comunicado ao CONTRATANTE, mediante documentação própria, para apreciação da autoridade competente. </w:t>
      </w:r>
    </w:p>
    <w:p>
      <w:pPr>
        <w:pStyle w:val="Normal"/>
        <w:suppressAutoHyphens w:val="false"/>
        <w:spacing w:lineRule="auto" w:line="276" w:before="0" w:after="0"/>
        <w:ind w:hanging="0" w:left="0" w:right="0"/>
        <w:jc w:val="both"/>
        <w:rPr/>
      </w:pPr>
      <w:r>
        <w:rPr>
          <w:rFonts w:eastAsia="Times New Roman" w:cs="Arial" w:ascii="Verdana" w:hAnsi="Verdana"/>
          <w:b/>
          <w:bCs/>
          <w:color w:val="000000"/>
          <w:sz w:val="20"/>
          <w:szCs w:val="20"/>
          <w:u w:val="none"/>
        </w:rPr>
        <w:t>3.15</w:t>
      </w:r>
      <w:r>
        <w:rPr>
          <w:rFonts w:eastAsia="Times New Roman" w:cs="Arial" w:ascii="Verdana" w:hAnsi="Verdana"/>
          <w:b w:val="false"/>
          <w:bCs w:val="false"/>
          <w:color w:val="000000"/>
          <w:sz w:val="20"/>
          <w:szCs w:val="20"/>
          <w:u w:val="none"/>
        </w:rPr>
        <w:t xml:space="preserve">. </w:t>
      </w:r>
      <w:r>
        <w:rPr>
          <w:rFonts w:cs="Arial" w:ascii="Verdana" w:hAnsi="Verdana"/>
          <w:b w:val="false"/>
          <w:bCs w:val="false"/>
          <w:color w:val="000000"/>
          <w:sz w:val="20"/>
          <w:szCs w:val="20"/>
          <w:u w:val="none"/>
        </w:rPr>
        <w:t>O CONTRATANTE poderá deduzir do pagamento importâncias que a qualquer título lhe forem devidos pela empresa CONTRATADA, em decorrência de descumprimento de suas obrigações.</w:t>
      </w:r>
    </w:p>
    <w:p>
      <w:pPr>
        <w:pStyle w:val="ListParagraph"/>
        <w:tabs>
          <w:tab w:val="clear" w:pos="708"/>
          <w:tab w:val="left" w:pos="434" w:leader="none"/>
        </w:tabs>
        <w:overflowPunct w:val="false"/>
        <w:spacing w:lineRule="auto" w:line="276" w:before="0" w:after="0"/>
        <w:ind w:hanging="0" w:left="0" w:right="0"/>
        <w:jc w:val="both"/>
        <w:textAlignment w:val="auto"/>
        <w:rPr/>
      </w:pPr>
      <w:r>
        <w:rPr>
          <w:rFonts w:eastAsia="Verdana" w:cs="Arial" w:ascii="Verdana" w:hAnsi="Verdana"/>
          <w:b/>
          <w:bCs/>
          <w:sz w:val="20"/>
          <w:szCs w:val="20"/>
          <w:u w:val="none"/>
          <w:lang w:eastAsia="pt-BR"/>
        </w:rPr>
        <w:t>3.16</w:t>
      </w:r>
      <w:r>
        <w:rPr>
          <w:rFonts w:eastAsia="Verdana" w:cs="Arial" w:ascii="Verdana" w:hAnsi="Verdana"/>
          <w:b w:val="false"/>
          <w:bCs w:val="false"/>
          <w:sz w:val="20"/>
          <w:szCs w:val="20"/>
          <w:u w:val="none"/>
          <w:lang w:eastAsia="pt-BR"/>
        </w:rPr>
        <w:t xml:space="preserve">. </w:t>
      </w:r>
      <w:r>
        <w:rPr>
          <w:rFonts w:eastAsia="Verdana" w:cs="Arial" w:ascii="Verdana" w:hAnsi="Verdana"/>
          <w:b w:val="false"/>
          <w:bCs w:val="false"/>
          <w:sz w:val="20"/>
          <w:szCs w:val="20"/>
          <w:u w:val="none"/>
          <w:lang w:eastAsia="en-US"/>
        </w:rPr>
        <w:t xml:space="preserve">Para a efetivação do pagamento, a CONTRATADA deverá manter as mesmas </w:t>
      </w:r>
      <w:r>
        <w:rPr>
          <w:rFonts w:eastAsia="Verdana" w:cs="Arial" w:ascii="Verdana" w:hAnsi="Verdana"/>
          <w:b w:val="false"/>
          <w:bCs w:val="false"/>
          <w:sz w:val="20"/>
          <w:szCs w:val="20"/>
          <w:u w:val="none"/>
          <w:lang w:eastAsia="pt-BR"/>
        </w:rPr>
        <w:t>condições relativas à proposta de preço e a habilitação.</w:t>
      </w:r>
    </w:p>
    <w:p>
      <w:pPr>
        <w:pStyle w:val="Normal"/>
        <w:tabs>
          <w:tab w:val="clear" w:pos="708"/>
          <w:tab w:val="left" w:pos="426" w:leader="none"/>
          <w:tab w:val="left" w:pos="900" w:leader="none"/>
          <w:tab w:val="left" w:pos="1080" w:leader="none"/>
        </w:tabs>
        <w:spacing w:lineRule="auto" w:line="276" w:before="0" w:after="0"/>
        <w:ind w:hanging="0" w:left="0" w:right="0"/>
        <w:jc w:val="both"/>
        <w:rPr>
          <w:rFonts w:ascii="Verdana" w:hAnsi="Verdana" w:cs="Verdana"/>
          <w:sz w:val="20"/>
          <w:szCs w:val="20"/>
        </w:rPr>
      </w:pPr>
      <w:r>
        <w:rPr>
          <w:rFonts w:cs="Verdana" w:ascii="Verdana" w:hAnsi="Verdana"/>
          <w:sz w:val="20"/>
          <w:szCs w:val="20"/>
        </w:rPr>
      </w:r>
    </w:p>
    <w:p>
      <w:pPr>
        <w:pStyle w:val="Normal"/>
        <w:spacing w:lineRule="auto" w:line="276" w:before="0" w:after="0"/>
        <w:ind w:hanging="0" w:left="0" w:right="0"/>
        <w:jc w:val="both"/>
        <w:rPr>
          <w:rFonts w:ascii="Verdana" w:hAnsi="Verdana" w:cs="Verdana"/>
          <w:b/>
          <w:sz w:val="20"/>
          <w:szCs w:val="20"/>
          <w:u w:val="single"/>
        </w:rPr>
      </w:pPr>
      <w:r>
        <w:rPr>
          <w:rFonts w:cs="Verdana" w:ascii="Verdana" w:hAnsi="Verdana"/>
          <w:b/>
          <w:sz w:val="20"/>
          <w:szCs w:val="20"/>
          <w:u w:val="single"/>
        </w:rPr>
        <w:t>CLÁUSULA QUARTA – DO REAJUSTE</w:t>
      </w:r>
    </w:p>
    <w:p>
      <w:pPr>
        <w:pStyle w:val="ListParagraph"/>
        <w:keepNext w:val="true"/>
        <w:keepLines/>
        <w:numPr>
          <w:ilvl w:val="0"/>
          <w:numId w:val="6"/>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6"/>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6"/>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Nivel2"/>
        <w:tabs>
          <w:tab w:val="clear" w:pos="0"/>
        </w:tabs>
        <w:spacing w:lineRule="auto" w:line="276" w:before="0" w:after="0"/>
        <w:ind w:hanging="0" w:left="0" w:right="0"/>
        <w:rPr/>
      </w:pPr>
      <w:r>
        <w:rPr>
          <w:rFonts w:cs="Verdana" w:ascii="Verdana" w:hAnsi="Verdana"/>
          <w:b/>
          <w:bCs/>
          <w:sz w:val="20"/>
          <w:szCs w:val="20"/>
        </w:rPr>
        <w:t xml:space="preserve">4.1 </w:t>
      </w:r>
      <w:bookmarkStart w:id="0" w:name="_Hlk146015535"/>
      <w:r>
        <w:rPr>
          <w:rFonts w:cs="Verdana" w:ascii="Verdana" w:hAnsi="Verdana"/>
          <w:sz w:val="20"/>
          <w:szCs w:val="20"/>
        </w:rPr>
        <w:t>Os preços inicialmente contratados são fixos e irreajustáveis no prazo de um ano contado da data do orçamento estimado, em</w:t>
      </w:r>
      <w:r>
        <w:rPr>
          <w:rFonts w:cs="Verdana" w:ascii="Verdana" w:hAnsi="Verdana"/>
          <w:b/>
          <w:bCs/>
          <w:i/>
          <w:iCs/>
          <w:color w:val="FF0000"/>
          <w:sz w:val="20"/>
          <w:szCs w:val="20"/>
        </w:rPr>
        <w:t>__/__/__ (DD/MM/AAAA)</w:t>
      </w:r>
      <w:r>
        <w:rPr>
          <w:rFonts w:cs="Verdana" w:ascii="Verdana" w:hAnsi="Verdana"/>
          <w:sz w:val="20"/>
          <w:szCs w:val="20"/>
        </w:rPr>
        <w:t>.</w:t>
      </w:r>
    </w:p>
    <w:p>
      <w:pPr>
        <w:pStyle w:val="Nivel2"/>
        <w:tabs>
          <w:tab w:val="clear" w:pos="0"/>
        </w:tabs>
        <w:spacing w:lineRule="auto" w:line="276" w:before="0" w:after="0"/>
        <w:ind w:hanging="0" w:left="0" w:right="0"/>
        <w:rPr/>
      </w:pPr>
      <w:r>
        <w:rPr>
          <w:rFonts w:cs="Verdana" w:ascii="Verdana" w:hAnsi="Verdana"/>
          <w:b/>
          <w:bCs/>
          <w:sz w:val="20"/>
          <w:szCs w:val="20"/>
        </w:rPr>
        <w:t xml:space="preserve">4.2 </w:t>
      </w:r>
      <w:r>
        <w:rPr>
          <w:rFonts w:cs="Verdana" w:ascii="Verdana" w:hAnsi="Verdana"/>
          <w:sz w:val="20"/>
          <w:szCs w:val="20"/>
        </w:rPr>
        <w:t xml:space="preserve">Após o interregno de um ano, e </w:t>
      </w:r>
      <w:bookmarkStart w:id="1" w:name="_Hlk132722410"/>
      <w:r>
        <w:rPr>
          <w:rFonts w:cs="Verdana" w:ascii="Verdana" w:hAnsi="Verdana"/>
          <w:sz w:val="20"/>
          <w:szCs w:val="20"/>
        </w:rPr>
        <w:t xml:space="preserve">independentemente de pedido do contratado, </w:t>
      </w:r>
      <w:bookmarkEnd w:id="1"/>
      <w:r>
        <w:rPr>
          <w:rFonts w:cs="Verdana" w:ascii="Verdana" w:hAnsi="Verdana"/>
          <w:sz w:val="20"/>
          <w:szCs w:val="20"/>
        </w:rPr>
        <w:t>os preços iniciais serão reajustados, mediante a aplicação, pelo contratante, analisando o que for mais vantajoso para a administração pública dentro do índice INPC, exclusivamente para as obrigações iniciadas e concluídas após a ocorrência da anualidade.</w:t>
      </w:r>
    </w:p>
    <w:p>
      <w:pPr>
        <w:pStyle w:val="Nivel2"/>
        <w:tabs>
          <w:tab w:val="clear" w:pos="0"/>
        </w:tabs>
        <w:spacing w:lineRule="auto" w:line="276" w:before="0" w:after="0"/>
        <w:ind w:hanging="0" w:left="0" w:right="0"/>
        <w:rPr/>
      </w:pPr>
      <w:r>
        <w:rPr>
          <w:rFonts w:cs="Verdana" w:ascii="Verdana" w:hAnsi="Verdana"/>
          <w:b/>
          <w:bCs/>
          <w:sz w:val="20"/>
          <w:szCs w:val="20"/>
        </w:rPr>
        <w:t xml:space="preserve">4.3 </w:t>
      </w:r>
      <w:r>
        <w:rPr>
          <w:rFonts w:cs="Verdana" w:ascii="Verdana" w:hAnsi="Verdana"/>
          <w:sz w:val="20"/>
          <w:szCs w:val="20"/>
        </w:rPr>
        <w:t>Nos reajustes subsequentes ao primeiro, o interregno mínimo de um ano será contado a partir dos efeitos financeiros do último reajuste.</w:t>
      </w:r>
    </w:p>
    <w:p>
      <w:pPr>
        <w:pStyle w:val="Nivel2"/>
        <w:tabs>
          <w:tab w:val="clear" w:pos="0"/>
        </w:tabs>
        <w:spacing w:lineRule="auto" w:line="276" w:before="0" w:after="0"/>
        <w:ind w:hanging="0" w:left="0" w:right="0"/>
        <w:rPr/>
      </w:pPr>
      <w:r>
        <w:rPr>
          <w:rFonts w:cs="Verdana" w:ascii="Verdana" w:hAnsi="Verdana"/>
          <w:b/>
          <w:bCs/>
          <w:sz w:val="20"/>
          <w:szCs w:val="20"/>
        </w:rPr>
        <w:t xml:space="preserve">4.4 </w:t>
      </w:r>
      <w:r>
        <w:rPr>
          <w:rFonts w:cs="Verdana" w:ascii="Verdana" w:hAnsi="Verdana"/>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pPr>
        <w:pStyle w:val="Nivel2"/>
        <w:tabs>
          <w:tab w:val="clear" w:pos="0"/>
        </w:tabs>
        <w:spacing w:lineRule="auto" w:line="276" w:before="0" w:after="0"/>
        <w:ind w:hanging="0" w:left="0" w:right="0"/>
        <w:rPr/>
      </w:pPr>
      <w:r>
        <w:rPr>
          <w:rFonts w:cs="Verdana" w:ascii="Verdana" w:hAnsi="Verdana"/>
          <w:b/>
          <w:bCs/>
          <w:sz w:val="20"/>
          <w:szCs w:val="20"/>
        </w:rPr>
        <w:t xml:space="preserve">4.5 </w:t>
      </w:r>
      <w:r>
        <w:rPr>
          <w:rFonts w:cs="Verdana" w:ascii="Verdana" w:hAnsi="Verdana"/>
          <w:sz w:val="20"/>
          <w:szCs w:val="20"/>
        </w:rPr>
        <w:t>Nas aferições finais, o(s) índice(s) utilizado(s) para reajuste será(ão), obrigatoriamente, o(s) definitivo(s).</w:t>
      </w:r>
    </w:p>
    <w:p>
      <w:pPr>
        <w:pStyle w:val="Nivel2"/>
        <w:tabs>
          <w:tab w:val="clear" w:pos="0"/>
        </w:tabs>
        <w:spacing w:lineRule="auto" w:line="276" w:before="0" w:after="0"/>
        <w:ind w:hanging="0" w:left="0" w:right="0"/>
        <w:rPr/>
      </w:pPr>
      <w:r>
        <w:rPr>
          <w:rFonts w:cs="Verdana" w:ascii="Verdana" w:hAnsi="Verdana"/>
          <w:b/>
          <w:bCs/>
          <w:sz w:val="20"/>
          <w:szCs w:val="20"/>
        </w:rPr>
        <w:t xml:space="preserve">4.6 </w:t>
      </w:r>
      <w:r>
        <w:rPr>
          <w:rFonts w:cs="Verdana" w:ascii="Verdana" w:hAnsi="Verdana"/>
          <w:sz w:val="20"/>
          <w:szCs w:val="20"/>
        </w:rPr>
        <w:t>Caso o(s) índice(s) estabelecido(s) para reajustamento venha(m) a ser extinto(s) ou de qualquer forma não possa(m) mais ser utilizado(s), será(ão) adotado(s), em substituição, o(s) que vier(em) a ser determinado(s) pela legislação então em vigor.</w:t>
      </w:r>
    </w:p>
    <w:p>
      <w:pPr>
        <w:pStyle w:val="Nivel2"/>
        <w:tabs>
          <w:tab w:val="clear" w:pos="0"/>
        </w:tabs>
        <w:spacing w:lineRule="auto" w:line="276" w:before="0" w:after="0"/>
        <w:ind w:hanging="0" w:left="0" w:right="0"/>
        <w:rPr/>
      </w:pPr>
      <w:r>
        <w:rPr>
          <w:rFonts w:cs="Verdana" w:ascii="Verdana" w:hAnsi="Verdana"/>
          <w:b/>
          <w:bCs/>
          <w:sz w:val="20"/>
          <w:szCs w:val="20"/>
        </w:rPr>
        <w:t xml:space="preserve">4.7 </w:t>
      </w:r>
      <w:r>
        <w:rPr>
          <w:rFonts w:cs="Verdana" w:ascii="Verdana" w:hAnsi="Verdana"/>
          <w:sz w:val="20"/>
          <w:szCs w:val="20"/>
        </w:rPr>
        <w:t>Na ausência de previsão legal quanto ao índice substituto, as partes elegerão novo índice oficial, para reajustamento do preço do valor remanescente, por meio de termo aditivo.</w:t>
      </w:r>
    </w:p>
    <w:p>
      <w:pPr>
        <w:pStyle w:val="Nivel2"/>
        <w:tabs>
          <w:tab w:val="clear" w:pos="0"/>
        </w:tabs>
        <w:spacing w:lineRule="auto" w:line="276" w:before="0" w:after="0"/>
        <w:ind w:hanging="0" w:left="0" w:right="0"/>
        <w:rPr/>
      </w:pPr>
      <w:r>
        <w:rPr>
          <w:rFonts w:cs="Verdana" w:ascii="Verdana" w:hAnsi="Verdana"/>
          <w:b/>
          <w:bCs/>
          <w:sz w:val="20"/>
          <w:szCs w:val="20"/>
        </w:rPr>
        <w:t xml:space="preserve">4.8 </w:t>
      </w:r>
      <w:r>
        <w:rPr>
          <w:rFonts w:cs="Verdana" w:ascii="Verdana" w:hAnsi="Verdana"/>
          <w:sz w:val="20"/>
          <w:szCs w:val="20"/>
        </w:rPr>
        <w:t>O reajuste será realizado por apostilamento.</w:t>
      </w:r>
    </w:p>
    <w:p>
      <w:pPr>
        <w:pStyle w:val="Nivel2"/>
        <w:tabs>
          <w:tab w:val="clear" w:pos="0"/>
        </w:tabs>
        <w:spacing w:lineRule="auto" w:line="276" w:before="0" w:after="0"/>
        <w:ind w:hanging="0" w:left="0" w:right="0"/>
        <w:rPr>
          <w:rFonts w:ascii="Verdana" w:hAnsi="Verdana" w:cs="Verdana"/>
          <w:sz w:val="20"/>
          <w:szCs w:val="20"/>
        </w:rPr>
      </w:pPr>
      <w:r>
        <w:rPr>
          <w:rFonts w:cs="Verdana" w:ascii="Verdana" w:hAnsi="Verdana"/>
          <w:sz w:val="20"/>
          <w:szCs w:val="20"/>
        </w:rPr>
      </w:r>
      <w:bookmarkEnd w:id="0"/>
    </w:p>
    <w:p>
      <w:pPr>
        <w:pStyle w:val="ListParagraph"/>
        <w:keepNext w:val="true"/>
        <w:keepLines/>
        <w:numPr>
          <w:ilvl w:val="0"/>
          <w:numId w:val="6"/>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sz w:val="20"/>
          <w:szCs w:val="20"/>
          <w:u w:val="single"/>
          <w:lang w:eastAsia="pt-BR"/>
        </w:rPr>
      </w:pPr>
      <w:r>
        <w:rPr>
          <w:rFonts w:eastAsia="MS Gothic;ＭＳ ゴシック" w:cs="Arial" w:ascii="Verdana" w:hAnsi="Verdana"/>
          <w:b/>
          <w:bCs/>
          <w:vanish/>
          <w:sz w:val="20"/>
          <w:szCs w:val="20"/>
          <w:u w:val="single"/>
          <w:lang w:eastAsia="pt-BR"/>
        </w:rPr>
      </w:r>
    </w:p>
    <w:p>
      <w:pPr>
        <w:pStyle w:val="ListParagraph"/>
        <w:keepNext w:val="true"/>
        <w:keepLines/>
        <w:numPr>
          <w:ilvl w:val="0"/>
          <w:numId w:val="6"/>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6"/>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6"/>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Normal"/>
        <w:tabs>
          <w:tab w:val="clear" w:pos="708"/>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before="0" w:after="0"/>
        <w:ind w:hanging="0" w:left="0" w:right="0"/>
        <w:jc w:val="both"/>
        <w:rPr/>
      </w:pPr>
      <w:r>
        <w:rPr>
          <w:rFonts w:cs="Verdana" w:ascii="Verdana" w:hAnsi="Verdana"/>
          <w:b/>
          <w:sz w:val="20"/>
          <w:szCs w:val="20"/>
          <w:u w:val="single"/>
        </w:rPr>
        <w:t xml:space="preserve">CLÁUSULA QUINTA – </w:t>
      </w:r>
      <w:r>
        <w:rPr>
          <w:rFonts w:eastAsia="Batang;바탕" w:cs="Verdana" w:ascii="Verdana" w:hAnsi="Verdana"/>
          <w:b/>
          <w:sz w:val="20"/>
          <w:szCs w:val="20"/>
          <w:u w:val="single"/>
        </w:rPr>
        <w:t>DA DOTAÇÃO ORÇAMENTÁRIA</w:t>
      </w:r>
    </w:p>
    <w:p>
      <w:pPr>
        <w:pStyle w:val="Normal"/>
        <w:tabs>
          <w:tab w:val="clear" w:pos="708"/>
          <w:tab w:val="left" w:pos="10348" w:leader="none"/>
        </w:tabs>
        <w:spacing w:lineRule="auto" w:line="276" w:before="0" w:after="0"/>
        <w:ind w:hanging="0" w:left="0" w:right="0"/>
        <w:jc w:val="both"/>
        <w:rPr/>
      </w:pPr>
      <w:r>
        <w:rPr>
          <w:rFonts w:cs="Verdana" w:ascii="Verdana" w:hAnsi="Verdana"/>
          <w:b/>
          <w:sz w:val="20"/>
          <w:szCs w:val="20"/>
        </w:rPr>
        <w:t xml:space="preserve">5.1 </w:t>
      </w:r>
      <w:r>
        <w:rPr>
          <w:rFonts w:eastAsia="Batang;바탕" w:cs="Verdana" w:ascii="Verdana" w:hAnsi="Verdana"/>
          <w:b/>
          <w:sz w:val="20"/>
          <w:szCs w:val="20"/>
          <w:u w:val="single"/>
        </w:rPr>
        <w:t>Dos recursos orçamentários</w:t>
      </w:r>
      <w:r>
        <w:rPr>
          <w:rFonts w:eastAsia="Batang;바탕" w:cs="Verdana" w:ascii="Verdana" w:hAnsi="Verdana"/>
          <w:sz w:val="20"/>
          <w:szCs w:val="20"/>
        </w:rPr>
        <w:t xml:space="preserve"> – </w:t>
      </w:r>
      <w:r>
        <w:rPr>
          <w:rFonts w:eastAsia="Batang;바탕" w:cs="Times New Roman" w:ascii="Verdana" w:hAnsi="Verdana"/>
          <w:color w:val="000000"/>
          <w:sz w:val="20"/>
          <w:szCs w:val="20"/>
        </w:rPr>
        <w:t>Os recursos necessários para a prestação dos serviços correrão a conta de dotações próprias consignadas no Orçamento vigente, conforme discriminado abaixo:</w:t>
      </w:r>
    </w:p>
    <w:p>
      <w:pPr>
        <w:pStyle w:val="Normal"/>
        <w:spacing w:lineRule="auto" w:line="276" w:before="0" w:after="0"/>
        <w:ind w:hanging="0" w:left="0" w:right="0"/>
        <w:jc w:val="both"/>
        <w:rPr>
          <w:rFonts w:ascii="Verdana" w:hAnsi="Verdana" w:cs="Times New Roman"/>
          <w:b/>
          <w:bCs/>
          <w:sz w:val="20"/>
          <w:szCs w:val="20"/>
          <w:lang w:eastAsia="ar-SA"/>
        </w:rPr>
      </w:pPr>
      <w:r>
        <w:rPr>
          <w:rFonts w:cs="Times New Roman" w:ascii="Verdana" w:hAnsi="Verdana"/>
          <w:b/>
          <w:bCs/>
          <w:sz w:val="20"/>
          <w:szCs w:val="20"/>
          <w:lang w:eastAsia="ar-SA"/>
        </w:rPr>
        <w:t xml:space="preserve"> – </w:t>
      </w:r>
      <w:r>
        <w:rPr>
          <w:rFonts w:cs="Times New Roman" w:ascii="Verdana" w:hAnsi="Verdana"/>
          <w:b/>
          <w:bCs/>
          <w:sz w:val="20"/>
          <w:szCs w:val="20"/>
          <w:lang w:eastAsia="ar-SA"/>
        </w:rPr>
        <w:t>Secretaria Municipal de Educação</w:t>
      </w:r>
    </w:p>
    <w:p>
      <w:pPr>
        <w:pStyle w:val="Normal"/>
        <w:spacing w:lineRule="auto" w:line="276" w:before="0" w:after="0"/>
        <w:ind w:hanging="0" w:left="0" w:right="0"/>
        <w:rPr>
          <w:rFonts w:ascii="Verdana" w:hAnsi="Verdana" w:eastAsia="Batang;바탕" w:cs="Times New Roman"/>
          <w:b/>
          <w:bCs/>
          <w:color w:val="000000"/>
          <w:sz w:val="20"/>
          <w:szCs w:val="20"/>
          <w:lang w:eastAsia="ar-SA"/>
        </w:rPr>
      </w:pPr>
      <w:r>
        <w:rPr>
          <w:rFonts w:eastAsia="Batang;바탕" w:cs="Times New Roman" w:ascii="Verdana" w:hAnsi="Verdana"/>
          <w:b/>
          <w:bCs/>
          <w:color w:val="000000"/>
          <w:sz w:val="20"/>
          <w:szCs w:val="20"/>
          <w:lang w:eastAsia="ar-SA"/>
        </w:rPr>
        <w:t>Ficha 589 – 15000025000000 – Transferência do FUNDEB.</w:t>
      </w:r>
    </w:p>
    <w:p>
      <w:pPr>
        <w:pStyle w:val="Normal"/>
        <w:tabs>
          <w:tab w:val="clear" w:pos="708"/>
          <w:tab w:val="left" w:pos="10348" w:leader="none"/>
        </w:tabs>
        <w:spacing w:lineRule="auto" w:line="276" w:before="0" w:after="0"/>
        <w:ind w:hanging="0" w:left="0" w:right="0"/>
        <w:jc w:val="both"/>
        <w:rPr>
          <w:rFonts w:ascii="Verdana" w:hAnsi="Verdana" w:cs="Verdana"/>
          <w:sz w:val="20"/>
          <w:szCs w:val="20"/>
        </w:rPr>
      </w:pPr>
      <w:r>
        <w:rPr>
          <w:rFonts w:cs="Verdana" w:ascii="Verdana" w:hAnsi="Verdana"/>
          <w:sz w:val="20"/>
          <w:szCs w:val="20"/>
        </w:rPr>
      </w:r>
    </w:p>
    <w:p>
      <w:pPr>
        <w:pStyle w:val="Normal"/>
        <w:spacing w:lineRule="auto" w:line="276" w:before="0" w:after="0"/>
        <w:ind w:hanging="0" w:left="0" w:right="0"/>
        <w:jc w:val="both"/>
        <w:rPr>
          <w:rFonts w:ascii="Verdana" w:hAnsi="Verdana" w:cs="Verdana"/>
          <w:b/>
          <w:sz w:val="20"/>
          <w:szCs w:val="20"/>
          <w:u w:val="single"/>
        </w:rPr>
      </w:pPr>
      <w:r>
        <w:rPr>
          <w:rFonts w:cs="Verdana" w:ascii="Verdana" w:hAnsi="Verdana"/>
          <w:b/>
          <w:sz w:val="20"/>
          <w:szCs w:val="20"/>
          <w:u w:val="single"/>
        </w:rPr>
        <w:t>CLÁUSULA SEXTA – VIGÊNCIA</w:t>
      </w:r>
    </w:p>
    <w:p>
      <w:pPr>
        <w:pStyle w:val="Normal"/>
        <w:spacing w:lineRule="auto" w:line="276" w:before="0" w:after="0"/>
        <w:ind w:hanging="0" w:left="0" w:right="0"/>
        <w:jc w:val="both"/>
        <w:rPr/>
      </w:pPr>
      <w:r>
        <w:rPr>
          <w:rFonts w:cs="Verdana" w:ascii="Verdana" w:hAnsi="Verdana"/>
          <w:b/>
          <w:sz w:val="20"/>
          <w:szCs w:val="20"/>
        </w:rPr>
        <w:t>6.1 –</w:t>
      </w:r>
      <w:r>
        <w:rPr>
          <w:rFonts w:cs="Verdana" w:ascii="Verdana" w:hAnsi="Verdana"/>
          <w:sz w:val="20"/>
          <w:szCs w:val="20"/>
        </w:rPr>
        <w:t xml:space="preserve"> A vigência do contrato será de 12 (doze) meses, contados a partir da assinatura do contrato.</w:t>
      </w:r>
    </w:p>
    <w:p>
      <w:pPr>
        <w:pStyle w:val="Normal"/>
        <w:spacing w:lineRule="auto" w:line="276" w:before="0" w:after="0"/>
        <w:ind w:hanging="0" w:left="0" w:right="0"/>
        <w:jc w:val="both"/>
        <w:rPr/>
      </w:pPr>
      <w:r>
        <w:rPr>
          <w:rFonts w:cs="Verdana" w:ascii="Verdana" w:hAnsi="Verdana"/>
          <w:b/>
          <w:sz w:val="20"/>
          <w:szCs w:val="20"/>
        </w:rPr>
        <w:t>6.2 –</w:t>
      </w:r>
      <w:r>
        <w:rPr>
          <w:rFonts w:cs="Verdana" w:ascii="Verdana" w:hAnsi="Verdana"/>
          <w:sz w:val="20"/>
          <w:szCs w:val="20"/>
        </w:rPr>
        <w:t xml:space="preserve"> O prazo previsto poderá ser prorrogado exclusivamente a critério da CONTRATANTE se entender ser conveniente para a Administração, nos termos da Lei.</w:t>
      </w:r>
    </w:p>
    <w:p>
      <w:pPr>
        <w:pStyle w:val="Normal"/>
        <w:spacing w:lineRule="auto" w:line="276" w:before="0" w:after="0"/>
        <w:ind w:hanging="0" w:left="0" w:right="0"/>
        <w:jc w:val="both"/>
        <w:rPr>
          <w:rFonts w:ascii="Verdana" w:hAnsi="Verdana"/>
          <w:sz w:val="20"/>
          <w:szCs w:val="20"/>
        </w:rPr>
      </w:pPr>
      <w:r>
        <w:rPr>
          <w:rFonts w:ascii="Verdana" w:hAnsi="Verdana"/>
          <w:sz w:val="20"/>
          <w:szCs w:val="20"/>
        </w:rPr>
      </w:r>
    </w:p>
    <w:p>
      <w:pPr>
        <w:pStyle w:val="Normal"/>
        <w:spacing w:lineRule="auto" w:line="276" w:before="0" w:after="0"/>
        <w:ind w:hanging="0" w:left="0" w:right="0"/>
        <w:jc w:val="both"/>
        <w:rPr>
          <w:rFonts w:ascii="Verdana" w:hAnsi="Verdana" w:cs="Verdana"/>
          <w:b/>
          <w:sz w:val="20"/>
          <w:szCs w:val="20"/>
          <w:u w:val="single"/>
        </w:rPr>
      </w:pPr>
      <w:r>
        <w:rPr>
          <w:rFonts w:cs="Verdana" w:ascii="Verdana" w:hAnsi="Verdana"/>
          <w:b/>
          <w:sz w:val="20"/>
          <w:szCs w:val="20"/>
          <w:u w:val="single"/>
        </w:rPr>
        <w:t>CLÁUSULA SÉTIMA – OBRIGAÇÕES DA CONTRATADA</w:t>
      </w:r>
    </w:p>
    <w:p>
      <w:pPr>
        <w:pStyle w:val="Normal"/>
        <w:spacing w:lineRule="auto" w:line="276" w:before="0" w:after="0"/>
        <w:ind w:hanging="0" w:left="0" w:right="0"/>
        <w:jc w:val="both"/>
        <w:rPr/>
      </w:pPr>
      <w:r>
        <w:rPr>
          <w:rFonts w:cs="Verdana" w:ascii="Verdana" w:hAnsi="Verdana"/>
          <w:b/>
          <w:sz w:val="20"/>
          <w:szCs w:val="20"/>
        </w:rPr>
        <w:t>7.1 –</w:t>
      </w:r>
      <w:r>
        <w:rPr>
          <w:rFonts w:cs="Verdana" w:ascii="Verdana" w:hAnsi="Verdana"/>
          <w:sz w:val="20"/>
          <w:szCs w:val="20"/>
        </w:rPr>
        <w:t xml:space="preserve"> </w:t>
      </w:r>
      <w:r>
        <w:rPr>
          <w:rFonts w:cs="Arial" w:ascii="Verdana" w:hAnsi="Verdana"/>
          <w:b w:val="false"/>
          <w:bCs w:val="false"/>
          <w:i w:val="false"/>
          <w:iCs w:val="false"/>
          <w:color w:val="000000"/>
          <w:sz w:val="20"/>
          <w:szCs w:val="20"/>
        </w:rPr>
        <w:t>A Contratada deve cumprir todas as obrigações constantes neste Termo de Referência, seus anexos, sua proposta e contrato, assumindo como exclusivamente seus os riscos e as despesas decorrentes da boa e perfeita execução do objeto.</w:t>
      </w:r>
    </w:p>
    <w:p>
      <w:pPr>
        <w:pStyle w:val="Normal"/>
        <w:spacing w:lineRule="auto" w:line="276" w:before="0" w:after="0"/>
        <w:ind w:hanging="0" w:left="0" w:right="0"/>
        <w:jc w:val="both"/>
        <w:rPr/>
      </w:pPr>
      <w:r>
        <w:rPr>
          <w:rFonts w:cs="Arial" w:ascii="Verdana" w:hAnsi="Verdana"/>
          <w:b/>
          <w:bCs/>
          <w:i w:val="false"/>
          <w:iCs w:val="false"/>
          <w:color w:val="000000"/>
          <w:sz w:val="20"/>
          <w:szCs w:val="20"/>
        </w:rPr>
        <w:t>7.2</w:t>
      </w:r>
      <w:r>
        <w:rPr>
          <w:rFonts w:cs="Arial" w:ascii="Verdana" w:hAnsi="Verdana"/>
          <w:b w:val="false"/>
          <w:bCs w:val="false"/>
          <w:i w:val="false"/>
          <w:iCs w:val="false"/>
          <w:color w:val="000000"/>
          <w:sz w:val="20"/>
          <w:szCs w:val="20"/>
        </w:rPr>
        <w:t>. Efetuar a entrega do objeto em perfeitas condições, conforme especificações, prazo e local constantes no Termo de Referência, seus anexos e contrato, acompanhado da respectiva nota fiscal, na qual constarão as indicações referentes a: marca, fabricante, modelo, procedência e prazo de validade.</w:t>
      </w:r>
    </w:p>
    <w:p>
      <w:pPr>
        <w:pStyle w:val="Normal"/>
        <w:spacing w:lineRule="auto" w:line="276" w:before="0" w:after="0"/>
        <w:ind w:hanging="0" w:left="0" w:right="0"/>
        <w:jc w:val="both"/>
        <w:rPr/>
      </w:pPr>
      <w:r>
        <w:rPr>
          <w:rFonts w:cs="Arial" w:ascii="Verdana" w:hAnsi="Verdana"/>
          <w:b/>
          <w:bCs/>
          <w:i w:val="false"/>
          <w:iCs w:val="false"/>
          <w:color w:val="000000"/>
          <w:sz w:val="20"/>
          <w:szCs w:val="20"/>
        </w:rPr>
        <w:t>7.3</w:t>
      </w:r>
      <w:r>
        <w:rPr>
          <w:rFonts w:cs="Arial" w:ascii="Verdana" w:hAnsi="Verdana"/>
          <w:b w:val="false"/>
          <w:bCs w:val="false"/>
          <w:i w:val="false"/>
          <w:iCs w:val="false"/>
          <w:color w:val="000000"/>
          <w:sz w:val="20"/>
          <w:szCs w:val="20"/>
        </w:rPr>
        <w:t>. Responsabilizar-se pelos vícios e danos decorrentes do objeto.</w:t>
      </w:r>
    </w:p>
    <w:p>
      <w:pPr>
        <w:pStyle w:val="Normal"/>
        <w:spacing w:lineRule="auto" w:line="276" w:before="0" w:after="0"/>
        <w:ind w:hanging="0" w:left="0" w:right="0"/>
        <w:jc w:val="both"/>
        <w:rPr/>
      </w:pPr>
      <w:r>
        <w:rPr>
          <w:rFonts w:cs="Arial" w:ascii="Verdana" w:hAnsi="Verdana"/>
          <w:b/>
          <w:bCs/>
          <w:i w:val="false"/>
          <w:iCs w:val="false"/>
          <w:color w:val="000000"/>
          <w:sz w:val="20"/>
          <w:szCs w:val="20"/>
        </w:rPr>
        <w:t>7.4</w:t>
      </w:r>
      <w:r>
        <w:rPr>
          <w:rFonts w:cs="Arial" w:ascii="Verdana" w:hAnsi="Verdana"/>
          <w:b w:val="false"/>
          <w:bCs w:val="false"/>
          <w:i w:val="false"/>
          <w:iCs w:val="false"/>
          <w:color w:val="000000"/>
          <w:sz w:val="20"/>
          <w:szCs w:val="20"/>
        </w:rPr>
        <w:t>.</w:t>
      </w:r>
      <w:r>
        <w:rPr>
          <w:rFonts w:cs="Arial" w:ascii="Verdana" w:hAnsi="Verdana"/>
          <w:b/>
          <w:bCs/>
          <w:i w:val="false"/>
          <w:iCs w:val="false"/>
          <w:color w:val="000000"/>
          <w:sz w:val="20"/>
          <w:szCs w:val="20"/>
        </w:rPr>
        <w:t xml:space="preserve"> </w:t>
      </w:r>
      <w:r>
        <w:rPr>
          <w:rFonts w:cs="Arial" w:ascii="Verdana" w:hAnsi="Verdana"/>
          <w:b w:val="false"/>
          <w:bCs w:val="false"/>
          <w:i w:val="false"/>
          <w:iCs w:val="false"/>
          <w:color w:val="000000"/>
          <w:sz w:val="20"/>
          <w:szCs w:val="20"/>
        </w:rPr>
        <w:t>Substituir, reparar ou corrigir, às suas expensas, no prazo fixado neste Termo de Referência, o objeto com avarias ou defeitos.</w:t>
      </w:r>
    </w:p>
    <w:p>
      <w:pPr>
        <w:pStyle w:val="Normal"/>
        <w:spacing w:lineRule="auto" w:line="276" w:before="0" w:after="0"/>
        <w:ind w:hanging="0" w:left="0" w:right="0"/>
        <w:jc w:val="both"/>
        <w:rPr/>
      </w:pPr>
      <w:r>
        <w:rPr>
          <w:rFonts w:eastAsia="Times New Roman" w:cs="Arial" w:ascii="Verdana" w:hAnsi="Verdana"/>
          <w:b/>
          <w:bCs/>
          <w:i w:val="false"/>
          <w:iCs w:val="false"/>
          <w:color w:val="000000"/>
          <w:sz w:val="20"/>
          <w:szCs w:val="20"/>
        </w:rPr>
        <w:t>7.5</w:t>
      </w:r>
      <w:r>
        <w:rPr>
          <w:rFonts w:eastAsia="Times New Roman" w:cs="Arial" w:ascii="Verdana" w:hAnsi="Verdana"/>
          <w:b w:val="false"/>
          <w:bCs w:val="false"/>
          <w:i w:val="false"/>
          <w:iCs w:val="false"/>
          <w:color w:val="000000"/>
          <w:sz w:val="20"/>
          <w:szCs w:val="20"/>
        </w:rPr>
        <w:t xml:space="preserve">. </w:t>
      </w:r>
      <w:r>
        <w:rPr>
          <w:rFonts w:cs="Arial" w:ascii="Verdana" w:hAnsi="Verdana"/>
          <w:b w:val="false"/>
          <w:bCs w:val="false"/>
          <w:i w:val="false"/>
          <w:iCs w:val="false"/>
          <w:color w:val="000000"/>
          <w:sz w:val="20"/>
          <w:szCs w:val="20"/>
        </w:rPr>
        <w:t>Comunicar à Contratante, no prazo máximo de 12 (</w:t>
      </w:r>
      <w:r>
        <w:rPr>
          <w:rFonts w:eastAsia="Times New Roman" w:cs="Arial" w:ascii="Verdana" w:hAnsi="Verdana"/>
          <w:b w:val="false"/>
          <w:bCs w:val="false"/>
          <w:i w:val="false"/>
          <w:iCs w:val="false"/>
          <w:color w:val="000000"/>
          <w:sz w:val="20"/>
          <w:szCs w:val="20"/>
        </w:rPr>
        <w:t>doze</w:t>
      </w:r>
      <w:r>
        <w:rPr>
          <w:rFonts w:cs="Arial" w:ascii="Verdana" w:hAnsi="Verdana"/>
          <w:b w:val="false"/>
          <w:bCs w:val="false"/>
          <w:i w:val="false"/>
          <w:iCs w:val="false"/>
          <w:color w:val="000000"/>
          <w:sz w:val="20"/>
          <w:szCs w:val="20"/>
        </w:rPr>
        <w:t>) horas que antecede a data da entrega, os motivos que impossibilitem o cumprimento do prazo previsto, com a devida comprovação.</w:t>
      </w:r>
    </w:p>
    <w:p>
      <w:pPr>
        <w:pStyle w:val="Normal"/>
        <w:spacing w:lineRule="auto" w:line="276" w:before="0" w:after="0"/>
        <w:ind w:hanging="0" w:left="0" w:right="0"/>
        <w:jc w:val="both"/>
        <w:rPr/>
      </w:pPr>
      <w:r>
        <w:rPr>
          <w:rFonts w:eastAsia="Times New Roman" w:cs="Arial" w:ascii="Verdana" w:hAnsi="Verdana"/>
          <w:b/>
          <w:bCs/>
          <w:i w:val="false"/>
          <w:iCs w:val="false"/>
          <w:color w:val="000000"/>
          <w:sz w:val="20"/>
          <w:szCs w:val="20"/>
        </w:rPr>
        <w:t>7.6</w:t>
      </w:r>
      <w:r>
        <w:rPr>
          <w:rFonts w:eastAsia="Times New Roman" w:cs="Arial" w:ascii="Verdana" w:hAnsi="Verdana"/>
          <w:b w:val="false"/>
          <w:bCs w:val="false"/>
          <w:i w:val="false"/>
          <w:iCs w:val="false"/>
          <w:color w:val="000000"/>
          <w:sz w:val="20"/>
          <w:szCs w:val="20"/>
        </w:rPr>
        <w:t>.</w:t>
      </w:r>
      <w:r>
        <w:rPr>
          <w:rFonts w:eastAsia="Times New Roman" w:cs="Arial" w:ascii="Verdana" w:hAnsi="Verdana"/>
          <w:b/>
          <w:bCs/>
          <w:i w:val="false"/>
          <w:iCs w:val="false"/>
          <w:color w:val="000000"/>
          <w:sz w:val="20"/>
          <w:szCs w:val="20"/>
        </w:rPr>
        <w:t xml:space="preserve"> </w:t>
      </w:r>
      <w:r>
        <w:rPr>
          <w:rFonts w:cs="Arial" w:ascii="Verdana" w:hAnsi="Verdana"/>
          <w:b w:val="false"/>
          <w:bCs w:val="false"/>
          <w:i w:val="false"/>
          <w:iCs w:val="false"/>
          <w:color w:val="000000"/>
          <w:sz w:val="20"/>
          <w:szCs w:val="20"/>
        </w:rPr>
        <w:t xml:space="preserve">Manter, durante toda a execução </w:t>
      </w:r>
      <w:r>
        <w:rPr>
          <w:rFonts w:eastAsia="Times New Roman" w:cs="Arial" w:ascii="Verdana" w:hAnsi="Verdana"/>
          <w:b w:val="false"/>
          <w:bCs w:val="false"/>
          <w:i w:val="false"/>
          <w:iCs w:val="false"/>
          <w:color w:val="000000"/>
          <w:sz w:val="20"/>
          <w:szCs w:val="20"/>
        </w:rPr>
        <w:t>do contrato</w:t>
      </w:r>
      <w:r>
        <w:rPr>
          <w:rFonts w:cs="Arial" w:ascii="Verdana" w:hAnsi="Verdana"/>
          <w:b w:val="false"/>
          <w:bCs w:val="false"/>
          <w:i w:val="false"/>
          <w:iCs w:val="false"/>
          <w:color w:val="000000"/>
          <w:sz w:val="20"/>
          <w:szCs w:val="20"/>
        </w:rPr>
        <w:t xml:space="preserve">, em compatibilidade com as obrigações assumidas, todas as condições de habilitação e qualificação exigidas </w:t>
      </w:r>
      <w:r>
        <w:rPr>
          <w:rFonts w:eastAsia="Times New Roman" w:cs="Arial" w:ascii="Verdana" w:hAnsi="Verdana"/>
          <w:b w:val="false"/>
          <w:bCs w:val="false"/>
          <w:i w:val="false"/>
          <w:iCs w:val="false"/>
          <w:color w:val="000000"/>
          <w:sz w:val="20"/>
          <w:szCs w:val="20"/>
        </w:rPr>
        <w:t>no chamamento público</w:t>
      </w:r>
      <w:r>
        <w:rPr>
          <w:rFonts w:cs="Arial" w:ascii="Verdana" w:hAnsi="Verdana"/>
          <w:b w:val="false"/>
          <w:bCs w:val="false"/>
          <w:i w:val="false"/>
          <w:iCs w:val="false"/>
          <w:color w:val="000000"/>
          <w:sz w:val="20"/>
          <w:szCs w:val="20"/>
        </w:rPr>
        <w:t>.</w:t>
      </w:r>
    </w:p>
    <w:p>
      <w:pPr>
        <w:pStyle w:val="Normal"/>
        <w:tabs>
          <w:tab w:val="clear" w:pos="708"/>
          <w:tab w:val="left" w:pos="0" w:leader="none"/>
        </w:tabs>
        <w:spacing w:lineRule="auto" w:line="276" w:before="0" w:after="0"/>
        <w:ind w:hanging="0" w:left="0" w:right="0"/>
        <w:jc w:val="both"/>
        <w:rPr/>
      </w:pPr>
      <w:r>
        <w:rPr>
          <w:rFonts w:eastAsia="Times New Roman" w:cs="Arial" w:ascii="Verdana" w:hAnsi="Verdana"/>
          <w:b/>
          <w:bCs/>
          <w:i w:val="false"/>
          <w:iCs w:val="false"/>
          <w:color w:val="000000"/>
          <w:sz w:val="20"/>
          <w:szCs w:val="20"/>
        </w:rPr>
        <w:t>7.7</w:t>
      </w:r>
      <w:r>
        <w:rPr>
          <w:rFonts w:eastAsia="Times New Roman" w:cs="Arial" w:ascii="Verdana" w:hAnsi="Verdana"/>
          <w:b w:val="false"/>
          <w:bCs w:val="false"/>
          <w:i w:val="false"/>
          <w:iCs w:val="false"/>
          <w:color w:val="000000"/>
          <w:sz w:val="20"/>
          <w:szCs w:val="20"/>
        </w:rPr>
        <w:t xml:space="preserve">. </w:t>
      </w:r>
      <w:r>
        <w:rPr>
          <w:rFonts w:cs="Arial" w:ascii="Verdana" w:hAnsi="Verdana"/>
          <w:b w:val="false"/>
          <w:bCs w:val="false"/>
          <w:i w:val="false"/>
          <w:iCs w:val="false"/>
          <w:color w:val="000000"/>
          <w:sz w:val="20"/>
          <w:szCs w:val="20"/>
        </w:rPr>
        <w:t xml:space="preserve">Indicar preposto para representá-la durante a execução da ata </w:t>
      </w:r>
      <w:r>
        <w:rPr>
          <w:rFonts w:eastAsia="Times New Roman" w:cs="Arial" w:ascii="Verdana" w:hAnsi="Verdana"/>
          <w:b w:val="false"/>
          <w:bCs w:val="false"/>
          <w:i w:val="false"/>
          <w:iCs w:val="false"/>
          <w:color w:val="000000"/>
          <w:sz w:val="20"/>
          <w:szCs w:val="20"/>
        </w:rPr>
        <w:t>contrato</w:t>
      </w:r>
      <w:r>
        <w:rPr>
          <w:rFonts w:cs="Arial" w:ascii="Verdana" w:hAnsi="Verdana"/>
          <w:b w:val="false"/>
          <w:bCs w:val="false"/>
          <w:i w:val="false"/>
          <w:iCs w:val="false"/>
          <w:color w:val="000000"/>
          <w:sz w:val="20"/>
          <w:szCs w:val="20"/>
        </w:rPr>
        <w:t>.</w:t>
      </w:r>
    </w:p>
    <w:p>
      <w:pPr>
        <w:pStyle w:val="Normal"/>
        <w:tabs>
          <w:tab w:val="clear" w:pos="708"/>
          <w:tab w:val="left" w:pos="450" w:leader="none"/>
        </w:tabs>
        <w:spacing w:lineRule="auto" w:line="276" w:before="0" w:after="0"/>
        <w:ind w:hanging="0" w:left="0" w:right="0"/>
        <w:jc w:val="both"/>
        <w:rPr/>
      </w:pPr>
      <w:r>
        <w:rPr>
          <w:rFonts w:eastAsia="Times New Roman" w:cs="Arial" w:ascii="Verdana" w:hAnsi="Verdana"/>
          <w:b/>
          <w:bCs/>
          <w:i w:val="false"/>
          <w:iCs w:val="false"/>
          <w:color w:val="000000"/>
          <w:sz w:val="20"/>
          <w:szCs w:val="20"/>
        </w:rPr>
        <w:t>7.8</w:t>
      </w:r>
      <w:r>
        <w:rPr>
          <w:rFonts w:eastAsia="Times New Roman" w:cs="Arial" w:ascii="Verdana" w:hAnsi="Verdana"/>
          <w:b w:val="false"/>
          <w:bCs w:val="false"/>
          <w:i w:val="false"/>
          <w:iCs w:val="false"/>
          <w:color w:val="000000"/>
          <w:sz w:val="20"/>
          <w:szCs w:val="20"/>
        </w:rPr>
        <w:t>.</w:t>
      </w:r>
      <w:r>
        <w:rPr>
          <w:rFonts w:eastAsia="Times New Roman" w:cs="Arial" w:ascii="Verdana" w:hAnsi="Verdana"/>
          <w:b/>
          <w:bCs/>
          <w:i w:val="false"/>
          <w:iCs w:val="false"/>
          <w:color w:val="000000"/>
          <w:sz w:val="20"/>
          <w:szCs w:val="20"/>
        </w:rPr>
        <w:t xml:space="preserve"> </w:t>
      </w:r>
      <w:r>
        <w:rPr>
          <w:rFonts w:cs="Arial" w:ascii="Verdana" w:hAnsi="Verdana"/>
          <w:b w:val="false"/>
          <w:bCs w:val="false"/>
          <w:i w:val="false"/>
          <w:iCs w:val="false"/>
          <w:color w:val="000000"/>
          <w:sz w:val="20"/>
          <w:szCs w:val="20"/>
        </w:rPr>
        <w:t>A CONTRATADA será responsável pela observância das leis, decretos, regulamentos, portarias e normas federais, estaduais e municipais direta e indiretamente aplicáveis ao objeto do contrato.</w:t>
      </w:r>
    </w:p>
    <w:p>
      <w:pPr>
        <w:pStyle w:val="Normal"/>
        <w:tabs>
          <w:tab w:val="clear" w:pos="708"/>
          <w:tab w:val="left" w:pos="450" w:leader="none"/>
        </w:tabs>
        <w:spacing w:lineRule="auto" w:line="276" w:before="0" w:after="0"/>
        <w:ind w:hanging="0" w:left="0" w:right="0"/>
        <w:jc w:val="both"/>
        <w:rPr/>
      </w:pPr>
      <w:r>
        <w:rPr>
          <w:rFonts w:cs="Arial" w:ascii="Verdana" w:hAnsi="Verdana"/>
          <w:b/>
          <w:bCs/>
          <w:i w:val="false"/>
          <w:iCs w:val="false"/>
          <w:color w:val="000000"/>
          <w:sz w:val="20"/>
          <w:szCs w:val="20"/>
        </w:rPr>
        <w:t>7.9</w:t>
      </w:r>
      <w:r>
        <w:rPr>
          <w:rFonts w:cs="Arial" w:ascii="Verdana" w:hAnsi="Verdana"/>
          <w:b w:val="false"/>
          <w:bCs w:val="false"/>
          <w:i w:val="false"/>
          <w:iCs w:val="false"/>
          <w:color w:val="000000"/>
          <w:sz w:val="20"/>
          <w:szCs w:val="20"/>
        </w:rPr>
        <w:t>. Durante a execução d</w:t>
      </w:r>
      <w:r>
        <w:rPr>
          <w:rFonts w:eastAsia="Times New Roman" w:cs="Arial" w:ascii="Verdana" w:hAnsi="Verdana"/>
          <w:b w:val="false"/>
          <w:bCs w:val="false"/>
          <w:i w:val="false"/>
          <w:iCs w:val="false"/>
          <w:color w:val="000000"/>
          <w:sz w:val="20"/>
          <w:szCs w:val="20"/>
        </w:rPr>
        <w:t>o contrato</w:t>
      </w:r>
      <w:r>
        <w:rPr>
          <w:rFonts w:cs="Arial" w:ascii="Verdana" w:hAnsi="Verdana"/>
          <w:b w:val="false"/>
          <w:bCs w:val="false"/>
          <w:i w:val="false"/>
          <w:iCs w:val="false"/>
          <w:color w:val="000000"/>
          <w:sz w:val="20"/>
          <w:szCs w:val="20"/>
        </w:rPr>
        <w:t>, a CONTRATADA deverá:</w:t>
      </w:r>
      <w:r>
        <w:rPr>
          <w:rFonts w:ascii="Verdana" w:hAnsi="Verdana"/>
          <w:sz w:val="20"/>
          <w:szCs w:val="20"/>
        </w:rPr>
        <w:br/>
      </w:r>
      <w:r>
        <w:rPr>
          <w:rFonts w:ascii="Verdana" w:hAnsi="Verdana"/>
          <w:b/>
          <w:bCs/>
          <w:i/>
          <w:iCs/>
          <w:sz w:val="20"/>
          <w:szCs w:val="20"/>
        </w:rPr>
        <w:t>7</w:t>
      </w:r>
      <w:r>
        <w:rPr>
          <w:rFonts w:eastAsia="Times New Roman" w:cs="Arial" w:ascii="Verdana" w:hAnsi="Verdana"/>
          <w:b/>
          <w:bCs/>
          <w:i/>
          <w:iCs/>
          <w:color w:val="000000"/>
          <w:sz w:val="20"/>
          <w:szCs w:val="20"/>
        </w:rPr>
        <w:t>.9.1</w:t>
      </w:r>
      <w:r>
        <w:rPr>
          <w:rFonts w:eastAsia="Times New Roman" w:cs="Arial" w:ascii="Verdana" w:hAnsi="Verdana"/>
          <w:b w:val="false"/>
          <w:bCs w:val="false"/>
          <w:i w:val="false"/>
          <w:iCs w:val="false"/>
          <w:color w:val="000000"/>
          <w:sz w:val="20"/>
          <w:szCs w:val="20"/>
        </w:rPr>
        <w:t>.</w:t>
      </w:r>
      <w:r>
        <w:rPr>
          <w:rFonts w:cs="Arial" w:ascii="Verdana" w:hAnsi="Verdana"/>
          <w:b/>
          <w:bCs/>
          <w:i w:val="false"/>
          <w:iCs w:val="false"/>
          <w:color w:val="000000"/>
          <w:sz w:val="20"/>
          <w:szCs w:val="20"/>
        </w:rPr>
        <w:t xml:space="preserve"> </w:t>
      </w:r>
      <w:r>
        <w:rPr>
          <w:rFonts w:cs="Arial" w:ascii="Verdana" w:hAnsi="Verdana"/>
          <w:b w:val="false"/>
          <w:bCs w:val="false"/>
          <w:i w:val="false"/>
          <w:iCs w:val="false"/>
          <w:color w:val="000000"/>
          <w:sz w:val="20"/>
          <w:szCs w:val="20"/>
        </w:rPr>
        <w:t xml:space="preserve">Atender prontamente às solicitações </w:t>
      </w:r>
      <w:r>
        <w:rPr>
          <w:rFonts w:eastAsia="Times New Roman" w:cs="Arial" w:ascii="Verdana" w:hAnsi="Verdana"/>
          <w:b w:val="false"/>
          <w:bCs w:val="false"/>
          <w:i w:val="false"/>
          <w:iCs w:val="false"/>
          <w:color w:val="000000"/>
          <w:sz w:val="20"/>
          <w:szCs w:val="20"/>
        </w:rPr>
        <w:t>da secretaria requisitante nas</w:t>
      </w:r>
      <w:r>
        <w:rPr>
          <w:rFonts w:cs="Arial" w:ascii="Verdana" w:hAnsi="Verdana"/>
          <w:b w:val="false"/>
          <w:bCs w:val="false"/>
          <w:i w:val="false"/>
          <w:iCs w:val="false"/>
          <w:color w:val="000000"/>
          <w:sz w:val="20"/>
          <w:szCs w:val="20"/>
        </w:rPr>
        <w:t xml:space="preserve"> quantidades e especificações deste TERMO DE REFERÊNCIA e CONTRATO.</w:t>
      </w:r>
    </w:p>
    <w:p>
      <w:pPr>
        <w:pStyle w:val="Normal"/>
        <w:tabs>
          <w:tab w:val="clear" w:pos="708"/>
          <w:tab w:val="left" w:pos="0" w:leader="none"/>
        </w:tabs>
        <w:spacing w:lineRule="auto" w:line="276" w:before="0" w:after="0"/>
        <w:ind w:hanging="0" w:left="0" w:right="0"/>
        <w:jc w:val="both"/>
        <w:rPr/>
      </w:pPr>
      <w:r>
        <w:rPr>
          <w:rFonts w:eastAsia="Times New Roman" w:cs="Arial" w:ascii="Verdana" w:hAnsi="Verdana"/>
          <w:b/>
          <w:bCs/>
          <w:i/>
          <w:iCs/>
          <w:color w:val="000000"/>
          <w:sz w:val="20"/>
          <w:szCs w:val="20"/>
        </w:rPr>
        <w:t>7.9.</w:t>
      </w:r>
      <w:r>
        <w:rPr>
          <w:rFonts w:cs="Arial" w:ascii="Verdana" w:hAnsi="Verdana"/>
          <w:b/>
          <w:bCs/>
          <w:i/>
          <w:iCs/>
          <w:color w:val="000000"/>
          <w:sz w:val="20"/>
          <w:szCs w:val="20"/>
        </w:rPr>
        <w:t>2</w:t>
      </w:r>
      <w:r>
        <w:rPr>
          <w:rFonts w:cs="Arial" w:ascii="Verdana" w:hAnsi="Verdana"/>
          <w:b/>
          <w:bCs/>
          <w:i w:val="false"/>
          <w:iCs w:val="false"/>
          <w:color w:val="000000"/>
          <w:sz w:val="20"/>
          <w:szCs w:val="20"/>
        </w:rPr>
        <w:t xml:space="preserve">. </w:t>
      </w:r>
      <w:r>
        <w:rPr>
          <w:rFonts w:cs="Arial" w:ascii="Verdana" w:hAnsi="Verdana"/>
          <w:b w:val="false"/>
          <w:bCs w:val="false"/>
          <w:i w:val="false"/>
          <w:iCs w:val="false"/>
          <w:color w:val="000000"/>
          <w:sz w:val="20"/>
          <w:szCs w:val="20"/>
        </w:rPr>
        <w:t xml:space="preserve">Entregar os </w:t>
      </w:r>
      <w:r>
        <w:rPr>
          <w:rFonts w:eastAsia="Times New Roman" w:cs="Arial" w:ascii="Verdana" w:hAnsi="Verdana"/>
          <w:b w:val="false"/>
          <w:bCs w:val="false"/>
          <w:i w:val="false"/>
          <w:iCs w:val="false"/>
          <w:color w:val="000000"/>
          <w:sz w:val="20"/>
          <w:szCs w:val="20"/>
        </w:rPr>
        <w:t>gêneros alimentícios</w:t>
      </w:r>
      <w:r>
        <w:rPr>
          <w:rFonts w:cs="Arial" w:ascii="Verdana" w:hAnsi="Verdana"/>
          <w:b w:val="false"/>
          <w:bCs w:val="false"/>
          <w:i w:val="false"/>
          <w:iCs w:val="false"/>
          <w:color w:val="000000"/>
          <w:sz w:val="20"/>
          <w:szCs w:val="20"/>
        </w:rPr>
        <w:t xml:space="preserve"> acondicionados adequadamente, de forma a permitir completa segurança durante o transporte, acompanhado de nota fiscal, discriminado o quantitativo do produto, de acordo com as especificações técnicas.</w:t>
      </w:r>
    </w:p>
    <w:p>
      <w:pPr>
        <w:pStyle w:val="Normal"/>
        <w:tabs>
          <w:tab w:val="clear" w:pos="708"/>
          <w:tab w:val="left" w:pos="0" w:leader="none"/>
        </w:tabs>
        <w:spacing w:lineRule="auto" w:line="276" w:before="0" w:after="0"/>
        <w:ind w:hanging="0" w:left="0" w:right="0"/>
        <w:jc w:val="both"/>
        <w:rPr/>
      </w:pPr>
      <w:r>
        <w:rPr>
          <w:rFonts w:eastAsia="Times New Roman" w:cs="Arial" w:ascii="Verdana" w:hAnsi="Verdana"/>
          <w:b/>
          <w:bCs/>
          <w:i/>
          <w:iCs/>
          <w:color w:val="000000"/>
          <w:sz w:val="20"/>
          <w:szCs w:val="20"/>
        </w:rPr>
        <w:t>7.9.3</w:t>
      </w:r>
      <w:r>
        <w:rPr>
          <w:rFonts w:eastAsia="Times New Roman" w:cs="Arial" w:ascii="Verdana" w:hAnsi="Verdana"/>
          <w:b w:val="false"/>
          <w:bCs w:val="false"/>
          <w:i w:val="false"/>
          <w:iCs w:val="false"/>
          <w:color w:val="000000"/>
          <w:sz w:val="20"/>
          <w:szCs w:val="20"/>
        </w:rPr>
        <w:t xml:space="preserve">. </w:t>
      </w:r>
      <w:r>
        <w:rPr>
          <w:rFonts w:cs="Arial" w:ascii="Verdana" w:hAnsi="Verdana"/>
          <w:b w:val="false"/>
          <w:bCs w:val="false"/>
          <w:i w:val="false"/>
          <w:iCs w:val="false"/>
          <w:color w:val="000000"/>
          <w:sz w:val="20"/>
          <w:szCs w:val="20"/>
        </w:rPr>
        <w:t>A nota fiscal deverá ser acompanhada pelas Certidões de Regularidades Fiscais, exigidos para a habilitação no procedimento licitatório.</w:t>
      </w:r>
    </w:p>
    <w:p>
      <w:pPr>
        <w:pStyle w:val="Normal"/>
        <w:tabs>
          <w:tab w:val="clear" w:pos="708"/>
          <w:tab w:val="left" w:pos="0" w:leader="none"/>
        </w:tabs>
        <w:spacing w:lineRule="auto" w:line="276" w:before="0" w:after="0"/>
        <w:ind w:hanging="0" w:left="0" w:right="0"/>
        <w:jc w:val="both"/>
        <w:rPr/>
      </w:pPr>
      <w:r>
        <w:rPr>
          <w:rFonts w:ascii="Verdana" w:hAnsi="Verdana"/>
          <w:b/>
          <w:bCs/>
          <w:sz w:val="20"/>
          <w:szCs w:val="20"/>
        </w:rPr>
        <w:t>7</w:t>
      </w:r>
      <w:r>
        <w:rPr>
          <w:rFonts w:eastAsia="Times New Roman" w:cs="Arial" w:ascii="Verdana" w:hAnsi="Verdana"/>
          <w:b/>
          <w:bCs/>
          <w:i w:val="false"/>
          <w:iCs w:val="false"/>
          <w:color w:val="000000"/>
          <w:sz w:val="20"/>
          <w:szCs w:val="20"/>
        </w:rPr>
        <w:t>.9.4</w:t>
      </w:r>
      <w:r>
        <w:rPr>
          <w:rFonts w:eastAsia="Times New Roman" w:cs="Arial" w:ascii="Verdana" w:hAnsi="Verdana"/>
          <w:b w:val="false"/>
          <w:bCs w:val="false"/>
          <w:i w:val="false"/>
          <w:iCs w:val="false"/>
          <w:color w:val="000000"/>
          <w:sz w:val="20"/>
          <w:szCs w:val="20"/>
        </w:rPr>
        <w:t xml:space="preserve">. </w:t>
      </w:r>
      <w:r>
        <w:rPr>
          <w:rFonts w:cs="Arial" w:ascii="Verdana" w:hAnsi="Verdana"/>
          <w:b w:val="false"/>
          <w:bCs w:val="false"/>
          <w:i w:val="false"/>
          <w:iCs w:val="false"/>
          <w:color w:val="000000"/>
          <w:sz w:val="20"/>
          <w:szCs w:val="20"/>
        </w:rPr>
        <w:t xml:space="preserve">Substituir quaisquer </w:t>
      </w:r>
      <w:r>
        <w:rPr>
          <w:rFonts w:eastAsia="Times New Roman" w:cs="Arial" w:ascii="Verdana" w:hAnsi="Verdana"/>
          <w:b w:val="false"/>
          <w:bCs w:val="false"/>
          <w:i w:val="false"/>
          <w:iCs w:val="false"/>
          <w:color w:val="000000"/>
          <w:sz w:val="20"/>
          <w:szCs w:val="20"/>
        </w:rPr>
        <w:t xml:space="preserve">item </w:t>
      </w:r>
      <w:r>
        <w:rPr>
          <w:rFonts w:cs="Arial" w:ascii="Verdana" w:hAnsi="Verdana"/>
          <w:b w:val="false"/>
          <w:bCs w:val="false"/>
          <w:i w:val="false"/>
          <w:iCs w:val="false"/>
          <w:color w:val="000000"/>
          <w:sz w:val="20"/>
          <w:szCs w:val="20"/>
        </w:rPr>
        <w:t xml:space="preserve"> que não esteja dentro do padrão de qualidade, em bom estado de conservação, que apresente defeito ou não esteja em conformidade com as especificações da proposta apresentada.</w:t>
      </w:r>
    </w:p>
    <w:p>
      <w:pPr>
        <w:pStyle w:val="Normal"/>
        <w:spacing w:lineRule="auto" w:line="276" w:before="0" w:after="0"/>
        <w:ind w:hanging="0" w:left="0" w:right="0"/>
        <w:jc w:val="both"/>
        <w:rPr/>
      </w:pPr>
      <w:r>
        <w:rPr>
          <w:rFonts w:cs="Arial" w:ascii="Verdana" w:hAnsi="Verdana"/>
          <w:b/>
          <w:bCs/>
          <w:i/>
          <w:iCs/>
          <w:color w:val="000000"/>
          <w:sz w:val="20"/>
          <w:szCs w:val="20"/>
          <w:lang w:eastAsia="en-US"/>
        </w:rPr>
        <w:t>7.9.5</w:t>
      </w:r>
      <w:r>
        <w:rPr>
          <w:rFonts w:cs="Arial" w:ascii="Verdana" w:hAnsi="Verdana"/>
          <w:b w:val="false"/>
          <w:bCs w:val="false"/>
          <w:i w:val="false"/>
          <w:iCs w:val="false"/>
          <w:color w:val="000000"/>
          <w:sz w:val="20"/>
          <w:szCs w:val="20"/>
          <w:lang w:eastAsia="en-US"/>
        </w:rPr>
        <w:t>. Ocorrendo erros na apresentação dos documentos fiscais ou outra circunstância impeditiva, os mesmos serão devolvidos à empresa contratada para correção, ficando estabelecido que o prazo para pagamento será contado a partir da data de apresentação do novo documento fiscal, devidamente corrigido.</w:t>
      </w:r>
    </w:p>
    <w:p>
      <w:pPr>
        <w:pStyle w:val="ListParagraph"/>
        <w:tabs>
          <w:tab w:val="clear" w:pos="708"/>
          <w:tab w:val="left" w:pos="426" w:leader="none"/>
        </w:tabs>
        <w:spacing w:lineRule="auto" w:line="276" w:before="0" w:after="0"/>
        <w:ind w:hanging="0" w:left="0" w:right="0"/>
        <w:jc w:val="both"/>
        <w:rPr>
          <w:rFonts w:ascii="Verdana" w:hAnsi="Verdana"/>
          <w:sz w:val="20"/>
          <w:szCs w:val="20"/>
        </w:rPr>
      </w:pPr>
      <w:r>
        <w:rPr>
          <w:rFonts w:ascii="Verdana" w:hAnsi="Verdana"/>
          <w:sz w:val="20"/>
          <w:szCs w:val="20"/>
        </w:rPr>
      </w:r>
    </w:p>
    <w:p>
      <w:pPr>
        <w:pStyle w:val="Normal"/>
        <w:spacing w:lineRule="auto" w:line="276" w:before="0" w:after="0"/>
        <w:ind w:hanging="0" w:left="0" w:right="0"/>
        <w:jc w:val="both"/>
        <w:rPr>
          <w:rFonts w:ascii="Verdana" w:hAnsi="Verdana" w:cs="Verdana"/>
          <w:b/>
          <w:sz w:val="20"/>
          <w:szCs w:val="20"/>
          <w:u w:val="single"/>
        </w:rPr>
      </w:pPr>
      <w:r>
        <w:rPr>
          <w:rFonts w:cs="Verdana" w:ascii="Verdana" w:hAnsi="Verdana"/>
          <w:b/>
          <w:sz w:val="20"/>
          <w:szCs w:val="20"/>
          <w:u w:val="single"/>
        </w:rPr>
        <w:t>CLÁUSULA OITAVA – OBRIGAÇÕES DA CONTRATANTE</w:t>
      </w:r>
    </w:p>
    <w:p>
      <w:pPr>
        <w:pStyle w:val="Normal"/>
        <w:widowControl/>
        <w:suppressAutoHyphens w:val="true"/>
        <w:bidi w:val="0"/>
        <w:spacing w:lineRule="auto" w:line="276" w:before="0" w:after="0"/>
        <w:ind w:hanging="0" w:left="0" w:right="0"/>
        <w:jc w:val="both"/>
        <w:textAlignment w:val="baseline"/>
        <w:rPr/>
      </w:pPr>
      <w:r>
        <w:rPr>
          <w:rFonts w:cs="Verdana" w:ascii="Verdana" w:hAnsi="Verdana"/>
          <w:b/>
          <w:bCs/>
          <w:sz w:val="20"/>
          <w:szCs w:val="20"/>
        </w:rPr>
        <w:t>8.1</w:t>
      </w:r>
      <w:r>
        <w:rPr>
          <w:rFonts w:cs="Verdana" w:ascii="Verdana" w:hAnsi="Verdana"/>
          <w:b w:val="false"/>
          <w:bCs w:val="false"/>
          <w:sz w:val="20"/>
          <w:szCs w:val="20"/>
        </w:rPr>
        <w:t xml:space="preserve"> </w:t>
      </w:r>
      <w:r>
        <w:rPr>
          <w:rFonts w:cs="Arial" w:ascii="Verdana" w:hAnsi="Verdana"/>
          <w:b w:val="false"/>
          <w:bCs w:val="false"/>
          <w:i w:val="false"/>
          <w:iCs w:val="false"/>
          <w:color w:val="000000"/>
          <w:sz w:val="20"/>
          <w:szCs w:val="20"/>
        </w:rPr>
        <w:t>Receber os objetos no prazo e condições estabelecidas neste Termo de Referência, no contrato e seus anexos.</w:t>
      </w:r>
    </w:p>
    <w:p>
      <w:pPr>
        <w:pStyle w:val="Normal"/>
        <w:spacing w:lineRule="auto" w:line="276" w:before="0" w:after="0"/>
        <w:ind w:hanging="0" w:left="0" w:right="0"/>
        <w:jc w:val="both"/>
        <w:rPr/>
      </w:pPr>
      <w:r>
        <w:rPr>
          <w:rFonts w:cs="Arial" w:ascii="Verdana" w:hAnsi="Verdana"/>
          <w:b/>
          <w:bCs/>
          <w:i w:val="false"/>
          <w:iCs w:val="false"/>
          <w:color w:val="000000"/>
          <w:sz w:val="20"/>
          <w:szCs w:val="20"/>
        </w:rPr>
        <w:t xml:space="preserve">8.2. </w:t>
      </w:r>
      <w:r>
        <w:rPr>
          <w:rFonts w:cs="Arial" w:ascii="Verdana" w:hAnsi="Verdana"/>
          <w:b w:val="false"/>
          <w:bCs w:val="false"/>
          <w:i w:val="false"/>
          <w:iCs w:val="false"/>
          <w:color w:val="000000"/>
          <w:sz w:val="20"/>
          <w:szCs w:val="20"/>
        </w:rPr>
        <w:t xml:space="preserve">Verificar minuciosamente, no prazo fixado, a conformidade dos </w:t>
      </w:r>
      <w:r>
        <w:rPr>
          <w:rFonts w:eastAsia="Times New Roman" w:cs="Arial" w:ascii="Verdana" w:hAnsi="Verdana"/>
          <w:b w:val="false"/>
          <w:bCs w:val="false"/>
          <w:i w:val="false"/>
          <w:iCs w:val="false"/>
          <w:color w:val="000000"/>
          <w:sz w:val="20"/>
          <w:szCs w:val="20"/>
        </w:rPr>
        <w:t>gêneros alimentícios</w:t>
      </w:r>
      <w:r>
        <w:rPr>
          <w:rFonts w:cs="Arial" w:ascii="Verdana" w:hAnsi="Verdana"/>
          <w:b w:val="false"/>
          <w:bCs w:val="false"/>
          <w:i w:val="false"/>
          <w:iCs w:val="false"/>
          <w:color w:val="000000"/>
          <w:sz w:val="20"/>
          <w:szCs w:val="20"/>
        </w:rPr>
        <w:t xml:space="preserve"> provisoriamente com as especificações constantes neste Termo de Referência, da proposta e contrato para fins de aceitação e recebimento definitivo.</w:t>
      </w:r>
    </w:p>
    <w:p>
      <w:pPr>
        <w:pStyle w:val="Normal"/>
        <w:spacing w:lineRule="auto" w:line="276" w:before="0" w:after="0"/>
        <w:ind w:hanging="0" w:left="0" w:right="0"/>
        <w:jc w:val="both"/>
        <w:rPr/>
      </w:pPr>
      <w:r>
        <w:rPr>
          <w:rFonts w:cs="Arial" w:ascii="Verdana" w:hAnsi="Verdana"/>
          <w:b/>
          <w:bCs/>
          <w:i w:val="false"/>
          <w:iCs w:val="false"/>
          <w:color w:val="000000"/>
          <w:sz w:val="20"/>
          <w:szCs w:val="20"/>
        </w:rPr>
        <w:t>8.3</w:t>
      </w:r>
      <w:r>
        <w:rPr>
          <w:rFonts w:cs="Arial" w:ascii="Verdana" w:hAnsi="Verdana"/>
          <w:b w:val="false"/>
          <w:bCs w:val="false"/>
          <w:i w:val="false"/>
          <w:iCs w:val="false"/>
          <w:color w:val="000000"/>
          <w:sz w:val="20"/>
          <w:szCs w:val="20"/>
        </w:rPr>
        <w:t>. Comunicar à Contratada, por escrito, sobre imperfeições, falhas ou irregularidades verificadas no objeto fornecido, para que seja substituído, reparado ou corrigido.</w:t>
      </w:r>
    </w:p>
    <w:p>
      <w:pPr>
        <w:pStyle w:val="Normal"/>
        <w:spacing w:lineRule="auto" w:line="276" w:before="0" w:after="0"/>
        <w:ind w:hanging="0" w:left="0" w:right="0"/>
        <w:jc w:val="both"/>
        <w:rPr/>
      </w:pPr>
      <w:r>
        <w:rPr>
          <w:rFonts w:cs="Arial" w:ascii="Verdana" w:hAnsi="Verdana"/>
          <w:b/>
          <w:bCs/>
          <w:i w:val="false"/>
          <w:iCs w:val="false"/>
          <w:color w:val="000000"/>
          <w:sz w:val="20"/>
          <w:szCs w:val="20"/>
        </w:rPr>
        <w:t>8.4</w:t>
      </w:r>
      <w:r>
        <w:rPr>
          <w:rFonts w:cs="Arial" w:ascii="Verdana" w:hAnsi="Verdana"/>
          <w:b w:val="false"/>
          <w:bCs w:val="false"/>
          <w:i w:val="false"/>
          <w:iCs w:val="false"/>
          <w:color w:val="000000"/>
          <w:sz w:val="20"/>
          <w:szCs w:val="20"/>
        </w:rPr>
        <w:t>. Acompanhar e fiscalizar o cumprimento das obrigações da Contratada, através de comissão/servidor especialmente designado.</w:t>
      </w:r>
    </w:p>
    <w:p>
      <w:pPr>
        <w:pStyle w:val="Normal"/>
        <w:spacing w:lineRule="auto" w:line="276" w:before="0" w:after="0"/>
        <w:ind w:hanging="0" w:left="0" w:right="0"/>
        <w:jc w:val="both"/>
        <w:rPr/>
      </w:pPr>
      <w:r>
        <w:rPr>
          <w:rFonts w:cs="Arial" w:ascii="Verdana" w:hAnsi="Verdana"/>
          <w:b/>
          <w:bCs/>
          <w:i w:val="false"/>
          <w:iCs w:val="false"/>
          <w:color w:val="000000"/>
          <w:sz w:val="20"/>
          <w:szCs w:val="20"/>
        </w:rPr>
        <w:t>8.5</w:t>
      </w:r>
      <w:r>
        <w:rPr>
          <w:rFonts w:cs="Arial" w:ascii="Verdana" w:hAnsi="Verdana"/>
          <w:b w:val="false"/>
          <w:bCs w:val="false"/>
          <w:i w:val="false"/>
          <w:iCs w:val="false"/>
          <w:color w:val="000000"/>
          <w:sz w:val="20"/>
          <w:szCs w:val="20"/>
        </w:rPr>
        <w:t>. Efetuar o pagamento à Contratada no valor correspondente ao fornecimento dos  gêneros alimentícios, no prazo e forma estabelecidos neste Termo de Referência, seus anexos e contrato.</w:t>
      </w:r>
    </w:p>
    <w:p>
      <w:pPr>
        <w:pStyle w:val="Normal"/>
        <w:widowControl/>
        <w:suppressAutoHyphens w:val="true"/>
        <w:bidi w:val="0"/>
        <w:spacing w:lineRule="auto" w:line="276" w:before="0" w:after="0"/>
        <w:ind w:hanging="0" w:left="0" w:right="0"/>
        <w:jc w:val="both"/>
        <w:textAlignment w:val="baseline"/>
        <w:rPr/>
      </w:pPr>
      <w:r>
        <w:rPr>
          <w:rFonts w:eastAsia="Times New Roman" w:cs="Arial" w:ascii="Verdana" w:hAnsi="Verdana"/>
          <w:b/>
          <w:bCs/>
          <w:i w:val="false"/>
          <w:iCs w:val="false"/>
          <w:color w:val="000000"/>
          <w:sz w:val="20"/>
          <w:szCs w:val="20"/>
          <w:lang w:eastAsia="en-US"/>
        </w:rPr>
        <w:t>8.6</w:t>
      </w:r>
      <w:r>
        <w:rPr>
          <w:rFonts w:eastAsia="Times New Roman" w:cs="Arial" w:ascii="Verdana" w:hAnsi="Verdana"/>
          <w:b w:val="false"/>
          <w:bCs w:val="false"/>
          <w:i w:val="false"/>
          <w:iCs w:val="false"/>
          <w:color w:val="000000"/>
          <w:sz w:val="20"/>
          <w:szCs w:val="20"/>
          <w:lang w:eastAsia="en-US"/>
        </w:rPr>
        <w:t xml:space="preserve">. </w:t>
      </w:r>
      <w:r>
        <w:rPr>
          <w:rFonts w:cs="Arial" w:ascii="Verdana" w:hAnsi="Verdana"/>
          <w:b w:val="false"/>
          <w:bCs w:val="false"/>
          <w:i w:val="false"/>
          <w:iCs w:val="false"/>
          <w:color w:val="000000"/>
          <w:sz w:val="20"/>
          <w:szCs w:val="20"/>
          <w:lang w:eastAsia="en-US"/>
        </w:rPr>
        <w:t xml:space="preserve">A Administração não responderá por quaisquer compromissos assumidos pela Contratada com terceiros, ainda que vinculados à execução </w:t>
      </w:r>
      <w:r>
        <w:rPr>
          <w:rFonts w:eastAsia="Times New Roman" w:cs="Arial" w:ascii="Verdana" w:hAnsi="Verdana"/>
          <w:b w:val="false"/>
          <w:bCs w:val="false"/>
          <w:i w:val="false"/>
          <w:iCs w:val="false"/>
          <w:color w:val="000000"/>
          <w:sz w:val="20"/>
          <w:szCs w:val="20"/>
          <w:lang w:eastAsia="en-US"/>
        </w:rPr>
        <w:t>do presente contrato</w:t>
      </w:r>
      <w:r>
        <w:rPr>
          <w:rFonts w:cs="Arial" w:ascii="Verdana" w:hAnsi="Verdana"/>
          <w:b w:val="false"/>
          <w:bCs w:val="false"/>
          <w:i w:val="false"/>
          <w:iCs w:val="false"/>
          <w:color w:val="000000"/>
          <w:sz w:val="20"/>
          <w:szCs w:val="20"/>
          <w:lang w:eastAsia="en-US"/>
        </w:rPr>
        <w:t>, bem como por qualquer dano causado a terceiros em decorrência de ato da Contratada, de seus empregados, prepostos ou subordinados.</w:t>
      </w:r>
    </w:p>
    <w:p>
      <w:pPr>
        <w:pStyle w:val="ListParagraph"/>
        <w:tabs>
          <w:tab w:val="clear" w:pos="708"/>
          <w:tab w:val="left" w:pos="426" w:leader="none"/>
        </w:tabs>
        <w:spacing w:lineRule="auto" w:line="276" w:before="0" w:after="0"/>
        <w:ind w:hanging="0" w:left="0" w:right="0"/>
        <w:rPr>
          <w:rFonts w:ascii="Verdana" w:hAnsi="Verdana"/>
          <w:sz w:val="20"/>
          <w:szCs w:val="20"/>
        </w:rPr>
      </w:pPr>
      <w:r>
        <w:rPr>
          <w:rFonts w:ascii="Verdana" w:hAnsi="Verdana"/>
          <w:sz w:val="20"/>
          <w:szCs w:val="20"/>
        </w:rPr>
      </w:r>
    </w:p>
    <w:p>
      <w:pPr>
        <w:pStyle w:val="Normal"/>
        <w:spacing w:lineRule="auto" w:line="276" w:before="0" w:after="0"/>
        <w:ind w:hanging="0" w:left="0" w:right="0"/>
        <w:jc w:val="both"/>
        <w:rPr/>
      </w:pPr>
      <w:r>
        <w:rPr>
          <w:rFonts w:cs="Verdana" w:ascii="Verdana" w:hAnsi="Verdana"/>
          <w:b/>
          <w:sz w:val="20"/>
          <w:szCs w:val="20"/>
          <w:u w:val="single"/>
        </w:rPr>
        <w:t xml:space="preserve">CLÁUSULA NONA – </w:t>
      </w:r>
      <w:r>
        <w:rPr>
          <w:rFonts w:cs="Arial" w:ascii="Verdana" w:hAnsi="Verdana"/>
          <w:b/>
          <w:bCs/>
          <w:i w:val="false"/>
          <w:iCs w:val="false"/>
          <w:color w:val="000000"/>
          <w:sz w:val="20"/>
          <w:szCs w:val="20"/>
          <w:u w:val="single"/>
        </w:rPr>
        <w:t>DO CONTROLE E FISCALIZAÇÃO DA EXECUÇÃO</w:t>
      </w:r>
    </w:p>
    <w:p>
      <w:pPr>
        <w:pStyle w:val="Normal"/>
        <w:tabs>
          <w:tab w:val="clear" w:pos="708"/>
          <w:tab w:val="left" w:pos="378" w:leader="none"/>
        </w:tabs>
        <w:spacing w:lineRule="auto" w:line="276" w:before="0" w:after="0"/>
        <w:ind w:hanging="0" w:left="0" w:right="0"/>
        <w:jc w:val="both"/>
        <w:rPr/>
      </w:pPr>
      <w:r>
        <w:rPr>
          <w:rFonts w:cs="Verdana" w:ascii="Verdana" w:hAnsi="Verdana"/>
          <w:b/>
          <w:sz w:val="20"/>
          <w:szCs w:val="20"/>
        </w:rPr>
        <w:t>9.1 –</w:t>
      </w:r>
      <w:r>
        <w:rPr>
          <w:rFonts w:cs="Verdana" w:ascii="Verdana" w:hAnsi="Verdana"/>
          <w:sz w:val="20"/>
          <w:szCs w:val="20"/>
        </w:rPr>
        <w:t xml:space="preserve"> </w:t>
      </w:r>
      <w:r>
        <w:rPr>
          <w:rFonts w:cs="Arial" w:ascii="Verdana" w:hAnsi="Verdana"/>
          <w:b w:val="false"/>
          <w:bCs w:val="false"/>
          <w:i w:val="false"/>
          <w:iCs w:val="false"/>
          <w:color w:val="000000"/>
          <w:sz w:val="20"/>
          <w:szCs w:val="20"/>
        </w:rPr>
        <w:t>Será designado representante para acompanhar e fiscalizar a entrega d</w:t>
      </w:r>
      <w:r>
        <w:rPr>
          <w:rFonts w:eastAsia="Times New Roman" w:cs="Arial" w:ascii="Verdana" w:hAnsi="Verdana"/>
          <w:b w:val="false"/>
          <w:bCs w:val="false"/>
          <w:i w:val="false"/>
          <w:iCs w:val="false"/>
          <w:color w:val="000000"/>
          <w:sz w:val="20"/>
          <w:szCs w:val="20"/>
        </w:rPr>
        <w:t>os gêneros alimentícios</w:t>
      </w:r>
      <w:r>
        <w:rPr>
          <w:rFonts w:cs="Arial" w:ascii="Verdana" w:hAnsi="Verdana"/>
          <w:b w:val="false"/>
          <w:bCs w:val="false"/>
          <w:i w:val="false"/>
          <w:iCs w:val="false"/>
          <w:color w:val="000000"/>
          <w:sz w:val="20"/>
          <w:szCs w:val="20"/>
        </w:rPr>
        <w:t xml:space="preserve"> anotando em registro próprio todas as ocorrências relacionadas com a execução e determinando o que for necessário à regularização de falhas ou defeitos observados.</w:t>
      </w:r>
    </w:p>
    <w:p>
      <w:pPr>
        <w:pStyle w:val="Normal"/>
        <w:spacing w:lineRule="auto" w:line="276" w:before="0" w:after="0"/>
        <w:ind w:hanging="0" w:left="0" w:right="0"/>
        <w:jc w:val="both"/>
        <w:rPr/>
      </w:pPr>
      <w:r>
        <w:rPr>
          <w:rFonts w:cs="Arial" w:ascii="Verdana" w:hAnsi="Verdana"/>
          <w:b/>
          <w:bCs/>
          <w:i w:val="false"/>
          <w:iCs w:val="false"/>
          <w:color w:val="000000"/>
          <w:sz w:val="20"/>
          <w:szCs w:val="20"/>
        </w:rPr>
        <w:t>9.2</w:t>
      </w:r>
      <w:r>
        <w:rPr>
          <w:rFonts w:cs="Arial" w:ascii="Verdana" w:hAnsi="Verdana"/>
          <w:b w:val="false"/>
          <w:bCs w:val="false"/>
          <w:i w:val="false"/>
          <w:iCs w:val="false"/>
          <w:color w:val="000000"/>
          <w:sz w:val="20"/>
          <w:szCs w:val="20"/>
        </w:rPr>
        <w:t>. A fiscalização de que trata este item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w:t>
      </w:r>
    </w:p>
    <w:p>
      <w:pPr>
        <w:pStyle w:val="Normal"/>
        <w:spacing w:lineRule="auto" w:line="276" w:before="0" w:after="0"/>
        <w:ind w:hanging="0" w:left="0" w:right="0"/>
        <w:jc w:val="both"/>
        <w:rPr/>
      </w:pPr>
      <w:r>
        <w:rPr>
          <w:rFonts w:cs="Arial" w:ascii="Verdana" w:hAnsi="Verdana"/>
          <w:b/>
          <w:bCs/>
          <w:i w:val="false"/>
          <w:iCs w:val="false"/>
          <w:color w:val="000000"/>
          <w:sz w:val="20"/>
          <w:szCs w:val="20"/>
        </w:rPr>
        <w:t>9.3</w:t>
      </w:r>
      <w:r>
        <w:rPr>
          <w:rFonts w:cs="Arial" w:ascii="Verdana" w:hAnsi="Verdana"/>
          <w:b w:val="false"/>
          <w:bCs w:val="false"/>
          <w:i w:val="false"/>
          <w:iCs w:val="false"/>
          <w:color w:val="000000"/>
          <w:sz w:val="20"/>
          <w:szCs w:val="20"/>
        </w:rPr>
        <w:t>. O representante da Administração anotará em registro próprio todas as ocorrências relacionadas com a execução do contrato, indicando dia, mês e ano, bem como o nome dos funcionários eventualmente envolvidos, determinando o que</w:t>
      </w:r>
      <w:r>
        <w:rPr>
          <w:rFonts w:ascii="Verdana" w:hAnsi="Verdana"/>
          <w:sz w:val="20"/>
          <w:szCs w:val="20"/>
        </w:rPr>
        <w:br/>
      </w:r>
      <w:r>
        <w:rPr>
          <w:rFonts w:cs="Arial" w:ascii="Verdana" w:hAnsi="Verdana"/>
          <w:b w:val="false"/>
          <w:bCs w:val="false"/>
          <w:i w:val="false"/>
          <w:iCs w:val="false"/>
          <w:color w:val="000000"/>
          <w:sz w:val="20"/>
          <w:szCs w:val="20"/>
        </w:rPr>
        <w:t xml:space="preserve">for necessário à regularização das falhas ou </w:t>
      </w:r>
      <w:r>
        <w:rPr>
          <w:rFonts w:ascii="Verdana" w:hAnsi="Verdana"/>
          <w:sz w:val="20"/>
          <w:szCs w:val="20"/>
        </w:rPr>
        <w:t>defeitos observados e encaminhando os apontamentos à autoridade competente para as providências cabíveis.</w:t>
      </w:r>
    </w:p>
    <w:p>
      <w:pPr>
        <w:pStyle w:val="Normal"/>
        <w:tabs>
          <w:tab w:val="clear" w:pos="708"/>
          <w:tab w:val="left" w:pos="378" w:leader="none"/>
        </w:tabs>
        <w:spacing w:lineRule="auto" w:line="276" w:before="0" w:after="0"/>
        <w:ind w:hanging="0" w:left="0" w:right="0"/>
        <w:jc w:val="both"/>
        <w:rPr>
          <w:rFonts w:ascii="Verdana" w:hAnsi="Verdana" w:cs="Verdana"/>
          <w:b/>
          <w:bCs/>
          <w:i/>
          <w:i/>
          <w:iCs/>
          <w:sz w:val="20"/>
          <w:szCs w:val="20"/>
        </w:rPr>
      </w:pPr>
      <w:r>
        <w:rPr>
          <w:rFonts w:cs="Verdana" w:ascii="Verdana" w:hAnsi="Verdana"/>
          <w:b/>
          <w:bCs/>
          <w:i/>
          <w:iCs/>
          <w:sz w:val="20"/>
          <w:szCs w:val="20"/>
        </w:rPr>
        <w:t>9.4. No caso de interrupção das entregas, por parte da contratada, o gestor do contrato tomará as providências cabíveis, de acordo com as cláusulas do edital e do contrato.</w:t>
      </w:r>
    </w:p>
    <w:p>
      <w:pPr>
        <w:pStyle w:val="Normal"/>
        <w:tabs>
          <w:tab w:val="clear" w:pos="708"/>
          <w:tab w:val="left" w:pos="142" w:leader="none"/>
        </w:tabs>
        <w:spacing w:lineRule="auto" w:line="276" w:before="0" w:after="0"/>
        <w:ind w:hanging="0" w:left="0" w:right="0"/>
        <w:jc w:val="both"/>
        <w:rPr>
          <w:rFonts w:ascii="Verdana" w:hAnsi="Verdana"/>
          <w:b/>
          <w:bCs/>
          <w:sz w:val="20"/>
          <w:szCs w:val="20"/>
        </w:rPr>
      </w:pPr>
      <w:r>
        <w:rPr>
          <w:rFonts w:ascii="Verdana" w:hAnsi="Verdana"/>
          <w:b/>
          <w:bCs/>
          <w:sz w:val="20"/>
          <w:szCs w:val="20"/>
        </w:rPr>
      </w:r>
    </w:p>
    <w:p>
      <w:pPr>
        <w:pStyle w:val="Normal"/>
        <w:spacing w:lineRule="auto" w:line="276" w:before="0" w:after="0"/>
        <w:ind w:hanging="0" w:left="0" w:right="0"/>
        <w:jc w:val="both"/>
        <w:rPr>
          <w:rFonts w:ascii="Verdana" w:hAnsi="Verdana" w:cs="Verdana"/>
          <w:b/>
          <w:sz w:val="20"/>
          <w:szCs w:val="20"/>
          <w:u w:val="single"/>
        </w:rPr>
      </w:pPr>
      <w:r>
        <w:rPr>
          <w:rFonts w:cs="Verdana" w:ascii="Verdana" w:hAnsi="Verdana"/>
          <w:b/>
          <w:sz w:val="20"/>
          <w:szCs w:val="20"/>
          <w:u w:val="single"/>
        </w:rPr>
        <w:t>CLÁUSULA DÉCIMA – DAS PENALIDADES.</w:t>
      </w:r>
    </w:p>
    <w:p>
      <w:pPr>
        <w:pStyle w:val="Corpodetexto1"/>
        <w:overflowPunct w:val="false"/>
        <w:spacing w:lineRule="auto" w:line="276" w:before="0" w:after="0"/>
        <w:ind w:hanging="0" w:left="0" w:right="0"/>
        <w:jc w:val="both"/>
        <w:textAlignment w:val="auto"/>
        <w:rPr/>
      </w:pPr>
      <w:r>
        <w:rPr>
          <w:rFonts w:cs="Verdana" w:ascii="Verdana" w:hAnsi="Verdana"/>
          <w:b/>
          <w:sz w:val="20"/>
          <w:szCs w:val="20"/>
        </w:rPr>
        <w:t xml:space="preserve">10.1 </w:t>
      </w:r>
      <w:r>
        <w:rPr>
          <w:rFonts w:eastAsia="Batang;바탕" w:cs="Verdana" w:ascii="Verdana" w:hAnsi="Verdana"/>
          <w:sz w:val="20"/>
          <w:szCs w:val="20"/>
        </w:rPr>
        <w:t>A CONTRATADA deverá observar rigorosamente as condições estabelecidas para o fornecimento do objeto contratado, sujeitando-se às penalidades constantes no artigo 156 da Lei 14.133/2021 e suas alterações;</w:t>
      </w:r>
    </w:p>
    <w:p>
      <w:pPr>
        <w:pStyle w:val="Normal"/>
        <w:spacing w:lineRule="auto" w:line="276" w:before="0" w:after="0"/>
        <w:ind w:hanging="0" w:left="0" w:right="0"/>
        <w:jc w:val="both"/>
        <w:rPr/>
      </w:pPr>
      <w:r>
        <w:rPr>
          <w:rFonts w:cs="Verdana" w:ascii="Verdana" w:hAnsi="Verdana"/>
          <w:b/>
          <w:sz w:val="20"/>
          <w:szCs w:val="20"/>
        </w:rPr>
        <w:t xml:space="preserve">10.2 </w:t>
      </w:r>
      <w:r>
        <w:rPr>
          <w:rFonts w:cs="Verdana" w:ascii="Verdana" w:hAnsi="Verdana"/>
          <w:sz w:val="20"/>
          <w:szCs w:val="20"/>
        </w:rPr>
        <w:t xml:space="preserve">Pela inexecução total ou parcial do compromisso assumido, o Município de São Gabriel da Palha poderá aplicar à contratada, garantido o contraditório e ampla defesa, as sanções previstas na </w:t>
      </w:r>
      <w:r>
        <w:rPr>
          <w:rFonts w:eastAsia="Batang;바탕" w:cs="Verdana" w:ascii="Verdana" w:hAnsi="Verdana"/>
          <w:sz w:val="20"/>
          <w:szCs w:val="20"/>
        </w:rPr>
        <w:t>Lei 14.133/2021</w:t>
      </w:r>
      <w:r>
        <w:rPr>
          <w:rFonts w:cs="Verdana" w:ascii="Verdana" w:hAnsi="Verdana"/>
          <w:sz w:val="20"/>
          <w:szCs w:val="20"/>
        </w:rPr>
        <w:t>, bem como multas pecuniárias estabelecidas neste instrumento contratual.</w:t>
      </w:r>
    </w:p>
    <w:p>
      <w:pPr>
        <w:pStyle w:val="Normal"/>
        <w:tabs>
          <w:tab w:val="clear" w:pos="708"/>
          <w:tab w:val="center" w:pos="4419" w:leader="none"/>
          <w:tab w:val="right" w:pos="8838" w:leader="none"/>
        </w:tabs>
        <w:overflowPunct w:val="false"/>
        <w:spacing w:lineRule="auto" w:line="276" w:before="0" w:after="0"/>
        <w:ind w:hanging="0" w:left="0" w:right="0"/>
        <w:jc w:val="both"/>
        <w:textAlignment w:val="auto"/>
        <w:rPr/>
      </w:pPr>
      <w:r>
        <w:rPr>
          <w:rFonts w:cs="Verdana" w:ascii="Verdana" w:hAnsi="Verdana"/>
          <w:b/>
          <w:sz w:val="20"/>
          <w:szCs w:val="20"/>
        </w:rPr>
        <w:t xml:space="preserve">10.3 </w:t>
      </w:r>
      <w:r>
        <w:rPr>
          <w:rFonts w:cs="Verdana" w:ascii="Verdana" w:hAnsi="Verdana"/>
          <w:sz w:val="20"/>
          <w:szCs w:val="20"/>
        </w:rPr>
        <w:t>Os casos de multa obedecerão aos seguintes parâmetros:</w:t>
      </w:r>
    </w:p>
    <w:p>
      <w:pPr>
        <w:pStyle w:val="Normal"/>
        <w:spacing w:lineRule="auto" w:line="276" w:before="0" w:after="0"/>
        <w:ind w:hanging="0" w:left="0" w:right="0"/>
        <w:jc w:val="both"/>
        <w:rPr/>
      </w:pPr>
      <w:r>
        <w:rPr>
          <w:rFonts w:eastAsia="Batang;바탕" w:cs="Verdana" w:ascii="Verdana" w:hAnsi="Verdana"/>
          <w:b/>
          <w:bCs/>
          <w:sz w:val="20"/>
          <w:szCs w:val="20"/>
        </w:rPr>
        <w:t>a)</w:t>
      </w:r>
      <w:r>
        <w:rPr>
          <w:rFonts w:eastAsia="Batang;바탕" w:cs="Verdana" w:ascii="Verdana" w:hAnsi="Verdana"/>
          <w:sz w:val="20"/>
          <w:szCs w:val="20"/>
        </w:rPr>
        <w:t xml:space="preserve"> Para os efeitos do art.156 da Lei nº 14.133/2021, fica estabelecida a multa cominatória de até 10% (dez por cento) sob o valor global do contrato, a ser aplicada em caso de infringência de qualquer das cláusulas contratuais celebradas;</w:t>
      </w:r>
    </w:p>
    <w:p>
      <w:pPr>
        <w:pStyle w:val="Normal"/>
        <w:tabs>
          <w:tab w:val="clear" w:pos="708"/>
          <w:tab w:val="left" w:pos="993" w:leader="none"/>
          <w:tab w:val="left" w:pos="1418" w:leader="none"/>
        </w:tabs>
        <w:spacing w:lineRule="auto" w:line="276" w:before="0" w:after="0"/>
        <w:ind w:hanging="0" w:left="0" w:right="0"/>
        <w:jc w:val="both"/>
        <w:rPr/>
      </w:pPr>
      <w:r>
        <w:rPr>
          <w:rFonts w:eastAsia="Batang;바탕" w:cs="Verdana" w:ascii="Verdana" w:hAnsi="Verdana"/>
          <w:b/>
          <w:sz w:val="20"/>
          <w:szCs w:val="20"/>
        </w:rPr>
        <w:t>b)</w:t>
      </w:r>
      <w:r>
        <w:rPr>
          <w:rFonts w:eastAsia="Batang;바탕" w:cs="Verdana" w:ascii="Verdana" w:hAnsi="Verdana"/>
          <w:sz w:val="20"/>
          <w:szCs w:val="20"/>
        </w:rPr>
        <w:t xml:space="preserve"> Caso a contratada não venha a cumprir o prazo de entrega pactuado será a ela aplicada a multa de 1% (um por cento) por dia de atraso, estabelecida sobre o valor total do contrato.</w:t>
      </w:r>
    </w:p>
    <w:p>
      <w:pPr>
        <w:pStyle w:val="Normal"/>
        <w:spacing w:lineRule="auto" w:line="276" w:before="0" w:after="0"/>
        <w:ind w:hanging="0" w:left="0" w:right="0"/>
        <w:jc w:val="both"/>
        <w:rPr/>
      </w:pPr>
      <w:r>
        <w:rPr>
          <w:rFonts w:eastAsia="Batang;바탕" w:cs="Verdana" w:ascii="Verdana" w:hAnsi="Verdana"/>
          <w:b/>
          <w:bCs/>
          <w:sz w:val="20"/>
          <w:szCs w:val="20"/>
        </w:rPr>
        <w:t>c)</w:t>
      </w:r>
      <w:r>
        <w:rPr>
          <w:rFonts w:eastAsia="Batang;바탕" w:cs="Verdana" w:ascii="Verdana" w:hAnsi="Verdana"/>
          <w:sz w:val="20"/>
          <w:szCs w:val="20"/>
        </w:rPr>
        <w:t xml:space="preserve"> Pelo não fornecimento do objeto licitado após a assinatura do contrato, além de ser aplicada multa na forma estabelecida na alínea “a” desta cláusula a Administração Municipal poderá rescindir o contrato e convocar os licitantes remanescentes, na ordem de classificação na licitação, para fazer o fornecimento do objeto, desde que seus preços estejam dentro dos parâmetros de aceitação utilizados pelo Pregoeiro no decorrer do certame.</w:t>
      </w:r>
    </w:p>
    <w:p>
      <w:pPr>
        <w:pStyle w:val="Normal"/>
        <w:spacing w:lineRule="auto" w:line="276" w:before="0" w:after="0"/>
        <w:ind w:hanging="0" w:left="0" w:right="0"/>
        <w:jc w:val="both"/>
        <w:rPr/>
      </w:pPr>
      <w:r>
        <w:rPr>
          <w:rFonts w:cs="Verdana" w:ascii="Verdana" w:hAnsi="Verdana"/>
          <w:b/>
          <w:sz w:val="20"/>
          <w:szCs w:val="20"/>
        </w:rPr>
        <w:t>d)</w:t>
      </w:r>
      <w:r>
        <w:rPr>
          <w:rFonts w:cs="Verdana" w:ascii="Verdana" w:hAnsi="Verdana"/>
          <w:sz w:val="20"/>
          <w:szCs w:val="20"/>
        </w:rPr>
        <w:t xml:space="preserve"> A multa deverá ser recolhida no prazo máximo de 05 (cinco) dias úteis, a contar da data do recebimento da comunicação enviada pelo CONTRATANTE.</w:t>
      </w:r>
    </w:p>
    <w:p>
      <w:pPr>
        <w:pStyle w:val="Normal"/>
        <w:spacing w:lineRule="auto" w:line="276" w:before="0" w:after="0"/>
        <w:ind w:hanging="0" w:left="0" w:right="0"/>
        <w:jc w:val="both"/>
        <w:rPr/>
      </w:pPr>
      <w:r>
        <w:rPr>
          <w:rFonts w:cs="Verdana" w:ascii="Verdana" w:hAnsi="Verdana"/>
          <w:b/>
          <w:sz w:val="20"/>
          <w:szCs w:val="20"/>
        </w:rPr>
        <w:t>e)</w:t>
      </w:r>
      <w:r>
        <w:rPr>
          <w:rFonts w:cs="Verdana" w:ascii="Verdana" w:hAnsi="Verdana"/>
          <w:sz w:val="20"/>
          <w:szCs w:val="20"/>
        </w:rPr>
        <w:t xml:space="preserve"> O valor da multa poderá ser descontado do crédito existente em favor da contratada. </w:t>
      </w:r>
    </w:p>
    <w:p>
      <w:pPr>
        <w:pStyle w:val="Normal"/>
        <w:overflowPunct w:val="false"/>
        <w:spacing w:lineRule="auto" w:line="276" w:before="0" w:after="0"/>
        <w:ind w:hanging="0" w:left="0" w:right="0"/>
        <w:jc w:val="both"/>
        <w:textAlignment w:val="auto"/>
        <w:rPr/>
      </w:pPr>
      <w:r>
        <w:rPr>
          <w:rFonts w:cs="Verdana" w:ascii="Verdana" w:hAnsi="Verdana"/>
          <w:b/>
          <w:sz w:val="20"/>
          <w:szCs w:val="20"/>
        </w:rPr>
        <w:t>f)</w:t>
      </w:r>
      <w:r>
        <w:rPr>
          <w:rFonts w:cs="Verdana" w:ascii="Verdana" w:hAnsi="Verdana"/>
          <w:sz w:val="20"/>
          <w:szCs w:val="20"/>
        </w:rPr>
        <w:t xml:space="preserve"> As multas e outras sanções aplicadas só poderão ser relevadas motivadamente e por conveniência administrativa.</w:t>
      </w:r>
    </w:p>
    <w:p>
      <w:pPr>
        <w:pStyle w:val="Normal"/>
        <w:overflowPunct w:val="false"/>
        <w:spacing w:lineRule="auto" w:line="276" w:before="0" w:after="0"/>
        <w:ind w:hanging="0" w:left="0" w:right="0"/>
        <w:jc w:val="both"/>
        <w:textAlignment w:val="auto"/>
        <w:rPr/>
      </w:pPr>
      <w:r>
        <w:rPr>
          <w:rFonts w:cs="Verdana" w:ascii="Verdana" w:hAnsi="Verdana"/>
          <w:b/>
          <w:sz w:val="20"/>
          <w:szCs w:val="20"/>
        </w:rPr>
        <w:t>g)</w:t>
      </w:r>
      <w:r>
        <w:rPr>
          <w:rFonts w:cs="Verdana" w:ascii="Verdana" w:hAnsi="Verdana"/>
          <w:sz w:val="20"/>
          <w:szCs w:val="20"/>
        </w:rPr>
        <w:t xml:space="preserve"> Em qualquer hipótese de aplicação de sanções será assegurado a CONTRATADA o contraditório e ampla defesa.</w:t>
      </w:r>
    </w:p>
    <w:p>
      <w:pPr>
        <w:pStyle w:val="Normal"/>
        <w:overflowPunct w:val="false"/>
        <w:spacing w:lineRule="auto" w:line="276" w:before="0" w:after="0"/>
        <w:ind w:hanging="0" w:left="0" w:right="0"/>
        <w:jc w:val="both"/>
        <w:textAlignment w:val="auto"/>
        <w:rPr>
          <w:rFonts w:ascii="Verdana" w:hAnsi="Verdana"/>
          <w:sz w:val="20"/>
          <w:szCs w:val="20"/>
        </w:rPr>
      </w:pPr>
      <w:r>
        <w:rPr>
          <w:rFonts w:ascii="Verdana" w:hAnsi="Verdana"/>
          <w:sz w:val="20"/>
          <w:szCs w:val="20"/>
        </w:rPr>
      </w:r>
    </w:p>
    <w:p>
      <w:pPr>
        <w:pStyle w:val="Normal"/>
        <w:spacing w:lineRule="auto" w:line="276" w:before="0" w:after="0"/>
        <w:ind w:hanging="0" w:left="0" w:right="0"/>
        <w:jc w:val="both"/>
        <w:rPr>
          <w:rFonts w:ascii="Verdana" w:hAnsi="Verdana" w:cs="Verdana"/>
          <w:b/>
          <w:sz w:val="20"/>
          <w:szCs w:val="20"/>
          <w:u w:val="single"/>
        </w:rPr>
      </w:pPr>
      <w:r>
        <w:rPr>
          <w:rFonts w:cs="Verdana" w:ascii="Verdana" w:hAnsi="Verdana"/>
          <w:b/>
          <w:sz w:val="20"/>
          <w:szCs w:val="20"/>
          <w:u w:val="single"/>
        </w:rPr>
        <w:t>CLÁUSULA DÉCIMA PRIMEIRA – RESCISÃO DO CONTRATO</w:t>
      </w:r>
    </w:p>
    <w:p>
      <w:pPr>
        <w:pStyle w:val="Normal"/>
        <w:spacing w:lineRule="auto" w:line="276" w:before="0" w:after="0"/>
        <w:ind w:hanging="0" w:left="0" w:right="0"/>
        <w:jc w:val="both"/>
        <w:rPr/>
      </w:pPr>
      <w:r>
        <w:rPr>
          <w:rFonts w:cs="Verdana" w:ascii="Verdana" w:hAnsi="Verdana"/>
          <w:b/>
          <w:sz w:val="20"/>
          <w:szCs w:val="20"/>
        </w:rPr>
        <w:t xml:space="preserve">11.1 </w:t>
      </w:r>
      <w:r>
        <w:rPr>
          <w:rFonts w:cs="Verdana" w:ascii="Verdana" w:hAnsi="Verdana"/>
          <w:sz w:val="20"/>
          <w:szCs w:val="20"/>
        </w:rPr>
        <w:t>A inexecução total ou parcial do contrato enseja a sua rescisão, com as consequências contratuais e as previstas em lei, bem como a aplicação das multas e outras penalidades previstas neste instrumento.</w:t>
      </w:r>
    </w:p>
    <w:p>
      <w:pPr>
        <w:pStyle w:val="Normal"/>
        <w:spacing w:lineRule="auto" w:line="276" w:before="0" w:after="0"/>
        <w:ind w:hanging="0" w:left="0" w:right="0"/>
        <w:jc w:val="both"/>
        <w:rPr/>
      </w:pPr>
      <w:r>
        <w:rPr>
          <w:rFonts w:cs="Verdana" w:ascii="Verdana" w:hAnsi="Verdana"/>
          <w:b/>
          <w:sz w:val="20"/>
          <w:szCs w:val="20"/>
        </w:rPr>
        <w:t>11.1.1</w:t>
      </w:r>
      <w:r>
        <w:rPr>
          <w:rFonts w:cs="Verdana" w:ascii="Verdana" w:hAnsi="Verdana"/>
          <w:sz w:val="20"/>
          <w:szCs w:val="20"/>
        </w:rPr>
        <w:t xml:space="preserve"> </w:t>
      </w:r>
      <w:r>
        <w:rPr>
          <w:rFonts w:cs="Verdana" w:ascii="Verdana" w:hAnsi="Verdana"/>
          <w:b/>
          <w:sz w:val="20"/>
          <w:szCs w:val="20"/>
          <w:u w:val="single"/>
        </w:rPr>
        <w:t>Constitui motivos para rescisão deste contrato:</w:t>
      </w:r>
    </w:p>
    <w:p>
      <w:pPr>
        <w:pStyle w:val="Normal"/>
        <w:tabs>
          <w:tab w:val="clear" w:pos="708"/>
          <w:tab w:val="left" w:pos="400" w:leader="none"/>
        </w:tabs>
        <w:overflowPunct w:val="false"/>
        <w:spacing w:lineRule="auto" w:line="276" w:before="0" w:after="0"/>
        <w:ind w:hanging="0" w:left="0" w:right="0"/>
        <w:jc w:val="both"/>
        <w:textAlignment w:val="auto"/>
        <w:rPr/>
      </w:pPr>
      <w:r>
        <w:rPr>
          <w:rFonts w:cs="Verdana" w:ascii="Verdana" w:hAnsi="Verdana"/>
          <w:b/>
          <w:bCs/>
          <w:sz w:val="20"/>
          <w:szCs w:val="20"/>
        </w:rPr>
        <w:t xml:space="preserve">a) </w:t>
      </w:r>
      <w:r>
        <w:rPr>
          <w:rFonts w:cs="Verdana" w:ascii="Verdana" w:hAnsi="Verdana"/>
          <w:sz w:val="20"/>
          <w:szCs w:val="20"/>
        </w:rPr>
        <w:t>O não cumprimento de cláusulas contratuais, especificações ou prazos;</w:t>
      </w:r>
    </w:p>
    <w:p>
      <w:pPr>
        <w:pStyle w:val="Normal"/>
        <w:tabs>
          <w:tab w:val="clear" w:pos="708"/>
          <w:tab w:val="left" w:pos="400" w:leader="none"/>
        </w:tabs>
        <w:overflowPunct w:val="false"/>
        <w:spacing w:lineRule="auto" w:line="276" w:before="0" w:after="0"/>
        <w:ind w:hanging="0" w:left="0" w:right="0"/>
        <w:jc w:val="both"/>
        <w:textAlignment w:val="auto"/>
        <w:rPr/>
      </w:pPr>
      <w:r>
        <w:rPr>
          <w:rFonts w:cs="Verdana" w:ascii="Verdana" w:hAnsi="Verdana"/>
          <w:b/>
          <w:bCs/>
          <w:sz w:val="20"/>
          <w:szCs w:val="20"/>
        </w:rPr>
        <w:t xml:space="preserve">b) </w:t>
      </w:r>
      <w:r>
        <w:rPr>
          <w:rFonts w:cs="Verdana" w:ascii="Verdana" w:hAnsi="Verdana"/>
          <w:sz w:val="20"/>
          <w:szCs w:val="20"/>
        </w:rPr>
        <w:t>O cumprimento irregular de cláusulas contratuais, especificações ou prazos;</w:t>
      </w:r>
    </w:p>
    <w:p>
      <w:pPr>
        <w:pStyle w:val="Normal"/>
        <w:tabs>
          <w:tab w:val="clear" w:pos="708"/>
          <w:tab w:val="left" w:pos="400" w:leader="none"/>
        </w:tabs>
        <w:overflowPunct w:val="false"/>
        <w:spacing w:lineRule="auto" w:line="276" w:before="0" w:after="0"/>
        <w:ind w:hanging="0" w:left="0" w:right="0"/>
        <w:jc w:val="both"/>
        <w:textAlignment w:val="auto"/>
        <w:rPr/>
      </w:pPr>
      <w:r>
        <w:rPr>
          <w:rFonts w:cs="Verdana" w:ascii="Verdana" w:hAnsi="Verdana"/>
          <w:b/>
          <w:bCs/>
          <w:sz w:val="20"/>
          <w:szCs w:val="20"/>
        </w:rPr>
        <w:t xml:space="preserve">c) </w:t>
      </w:r>
      <w:r>
        <w:rPr>
          <w:rFonts w:cs="Verdana" w:ascii="Verdana" w:hAnsi="Verdana"/>
          <w:sz w:val="20"/>
          <w:szCs w:val="20"/>
        </w:rPr>
        <w:t>A subcontratação do seu objeto, sem a devida autorização do CONTRATANTE;</w:t>
      </w:r>
    </w:p>
    <w:p>
      <w:pPr>
        <w:pStyle w:val="Normal"/>
        <w:tabs>
          <w:tab w:val="clear" w:pos="708"/>
          <w:tab w:val="left" w:pos="400" w:leader="none"/>
        </w:tabs>
        <w:overflowPunct w:val="false"/>
        <w:spacing w:lineRule="auto" w:line="276" w:before="0" w:after="0"/>
        <w:ind w:hanging="0" w:left="0" w:right="0"/>
        <w:jc w:val="both"/>
        <w:textAlignment w:val="auto"/>
        <w:rPr/>
      </w:pPr>
      <w:r>
        <w:rPr>
          <w:rFonts w:cs="Verdana" w:ascii="Verdana" w:hAnsi="Verdana"/>
          <w:b/>
          <w:bCs/>
          <w:sz w:val="20"/>
          <w:szCs w:val="20"/>
        </w:rPr>
        <w:t xml:space="preserve">d) </w:t>
      </w:r>
      <w:r>
        <w:rPr>
          <w:rFonts w:cs="Verdana" w:ascii="Verdana" w:hAnsi="Verdana"/>
          <w:sz w:val="20"/>
          <w:szCs w:val="20"/>
        </w:rPr>
        <w:t>A decretação de falência ou instauração de insolvência civil;</w:t>
      </w:r>
    </w:p>
    <w:p>
      <w:pPr>
        <w:pStyle w:val="Normal"/>
        <w:tabs>
          <w:tab w:val="clear" w:pos="708"/>
          <w:tab w:val="left" w:pos="400" w:leader="none"/>
        </w:tabs>
        <w:overflowPunct w:val="false"/>
        <w:spacing w:lineRule="auto" w:line="276" w:before="0" w:after="0"/>
        <w:ind w:hanging="0" w:left="0" w:right="0"/>
        <w:jc w:val="both"/>
        <w:textAlignment w:val="auto"/>
        <w:rPr/>
      </w:pPr>
      <w:r>
        <w:rPr>
          <w:rFonts w:cs="Verdana" w:ascii="Verdana" w:hAnsi="Verdana"/>
          <w:b/>
          <w:bCs/>
          <w:sz w:val="20"/>
          <w:szCs w:val="20"/>
        </w:rPr>
        <w:t xml:space="preserve">e) </w:t>
      </w:r>
      <w:r>
        <w:rPr>
          <w:rFonts w:cs="Verdana" w:ascii="Verdana" w:hAnsi="Verdana"/>
          <w:sz w:val="20"/>
          <w:szCs w:val="20"/>
        </w:rPr>
        <w:t>A dissolução da sociedade;</w:t>
      </w:r>
    </w:p>
    <w:p>
      <w:pPr>
        <w:pStyle w:val="Normal"/>
        <w:tabs>
          <w:tab w:val="clear" w:pos="708"/>
          <w:tab w:val="left" w:pos="400" w:leader="none"/>
        </w:tabs>
        <w:overflowPunct w:val="false"/>
        <w:spacing w:lineRule="auto" w:line="276" w:before="0" w:after="0"/>
        <w:ind w:hanging="0" w:left="0" w:right="0"/>
        <w:jc w:val="both"/>
        <w:textAlignment w:val="auto"/>
        <w:rPr/>
      </w:pPr>
      <w:r>
        <w:rPr>
          <w:rFonts w:cs="Verdana" w:ascii="Verdana" w:hAnsi="Verdana"/>
          <w:b/>
          <w:bCs/>
          <w:sz w:val="20"/>
          <w:szCs w:val="20"/>
        </w:rPr>
        <w:t xml:space="preserve">f) </w:t>
      </w:r>
      <w:r>
        <w:rPr>
          <w:rFonts w:cs="Verdana" w:ascii="Verdana" w:hAnsi="Verdana"/>
          <w:sz w:val="20"/>
          <w:szCs w:val="20"/>
        </w:rPr>
        <w:t>A alteração social ou modificação da finalidade ou da estrutura da empresa que, a juízo da CONTRATANTE, prejudique a execução do contrato;</w:t>
      </w:r>
    </w:p>
    <w:p>
      <w:pPr>
        <w:pStyle w:val="Normal"/>
        <w:tabs>
          <w:tab w:val="clear" w:pos="708"/>
          <w:tab w:val="left" w:pos="400" w:leader="none"/>
        </w:tabs>
        <w:overflowPunct w:val="false"/>
        <w:spacing w:lineRule="auto" w:line="276" w:before="0" w:after="0"/>
        <w:ind w:hanging="0" w:left="0" w:right="0"/>
        <w:jc w:val="both"/>
        <w:textAlignment w:val="auto"/>
        <w:rPr/>
      </w:pPr>
      <w:r>
        <w:rPr>
          <w:rFonts w:cs="Verdana" w:ascii="Verdana" w:hAnsi="Verdana"/>
          <w:b/>
          <w:bCs/>
          <w:sz w:val="20"/>
          <w:szCs w:val="20"/>
        </w:rPr>
        <w:t xml:space="preserve">g) </w:t>
      </w:r>
      <w:r>
        <w:rPr>
          <w:rFonts w:cs="Verdana" w:ascii="Verdana" w:hAnsi="Verdana"/>
          <w:sz w:val="20"/>
          <w:szCs w:val="20"/>
        </w:rPr>
        <w:t>Razões de interesse público de alta relevância e amplo conhecimento, justificado e determinada pela máxima autoridade da esfera administrativa a que está subordinada o CONTRATANTE e exaradas no processo administrativo que se refere o contrato;</w:t>
      </w:r>
    </w:p>
    <w:p>
      <w:pPr>
        <w:pStyle w:val="Normal"/>
        <w:tabs>
          <w:tab w:val="clear" w:pos="708"/>
          <w:tab w:val="left" w:pos="400" w:leader="none"/>
        </w:tabs>
        <w:overflowPunct w:val="false"/>
        <w:spacing w:lineRule="auto" w:line="276" w:before="0" w:after="0"/>
        <w:ind w:hanging="0" w:left="0" w:right="0"/>
        <w:jc w:val="both"/>
        <w:textAlignment w:val="auto"/>
        <w:rPr/>
      </w:pPr>
      <w:r>
        <w:rPr>
          <w:rFonts w:cs="Verdana" w:ascii="Verdana" w:hAnsi="Verdana"/>
          <w:b/>
          <w:bCs/>
          <w:sz w:val="20"/>
          <w:szCs w:val="20"/>
        </w:rPr>
        <w:t xml:space="preserve">h) </w:t>
      </w:r>
      <w:r>
        <w:rPr>
          <w:rFonts w:cs="Verdana" w:ascii="Verdana" w:hAnsi="Verdana"/>
          <w:sz w:val="20"/>
          <w:szCs w:val="20"/>
        </w:rPr>
        <w:t>A ocorrência de caso fortuito ou de força maior, regularmente comprovada, impeditiva da execução do contrato;</w:t>
      </w:r>
    </w:p>
    <w:p>
      <w:pPr>
        <w:pStyle w:val="Normal"/>
        <w:numPr>
          <w:ilvl w:val="2"/>
          <w:numId w:val="3"/>
        </w:numPr>
        <w:tabs>
          <w:tab w:val="clear" w:pos="708"/>
          <w:tab w:val="left" w:pos="400" w:leader="none"/>
        </w:tabs>
        <w:overflowPunct w:val="false"/>
        <w:spacing w:lineRule="auto" w:line="276" w:before="0" w:after="0"/>
        <w:ind w:hanging="0" w:left="0" w:right="0"/>
        <w:jc w:val="both"/>
        <w:textAlignment w:val="auto"/>
        <w:rPr>
          <w:rFonts w:ascii="Verdana" w:hAnsi="Verdana" w:cs="Verdana"/>
          <w:sz w:val="20"/>
          <w:szCs w:val="20"/>
        </w:rPr>
      </w:pPr>
      <w:r>
        <w:rPr>
          <w:rFonts w:cs="Verdana" w:ascii="Verdana" w:hAnsi="Verdana"/>
          <w:sz w:val="20"/>
          <w:szCs w:val="20"/>
        </w:rPr>
        <w:t>A decisão da autoridade competente, relativa à rescisão do contrato, deverá ser precedida de justificativa fundamentada, assegurado o contraditório e a ampla defesa.</w:t>
      </w:r>
    </w:p>
    <w:p>
      <w:pPr>
        <w:pStyle w:val="Normal"/>
        <w:spacing w:lineRule="auto" w:line="276" w:before="0" w:after="0"/>
        <w:ind w:hanging="0" w:left="0" w:right="0"/>
        <w:jc w:val="both"/>
        <w:rPr/>
      </w:pPr>
      <w:r>
        <w:rPr>
          <w:rFonts w:cs="Verdana" w:ascii="Verdana" w:hAnsi="Verdana"/>
          <w:b/>
          <w:sz w:val="20"/>
          <w:szCs w:val="20"/>
        </w:rPr>
        <w:t xml:space="preserve">11.1.2 </w:t>
      </w:r>
      <w:r>
        <w:rPr>
          <w:rFonts w:cs="Verdana" w:ascii="Verdana" w:hAnsi="Verdana"/>
          <w:sz w:val="20"/>
          <w:szCs w:val="20"/>
        </w:rPr>
        <w:t>A rescisão do contrato poderá ser:</w:t>
      </w:r>
    </w:p>
    <w:p>
      <w:pPr>
        <w:pStyle w:val="Normal"/>
        <w:numPr>
          <w:ilvl w:val="0"/>
          <w:numId w:val="4"/>
        </w:numPr>
        <w:tabs>
          <w:tab w:val="clear" w:pos="708"/>
          <w:tab w:val="left" w:pos="400" w:leader="none"/>
        </w:tabs>
        <w:overflowPunct w:val="false"/>
        <w:spacing w:lineRule="auto" w:line="276" w:before="0" w:after="0"/>
        <w:ind w:hanging="0" w:left="0" w:right="0"/>
        <w:jc w:val="both"/>
        <w:textAlignment w:val="auto"/>
        <w:rPr>
          <w:rFonts w:ascii="Verdana" w:hAnsi="Verdana" w:cs="Verdana"/>
          <w:sz w:val="20"/>
          <w:szCs w:val="20"/>
        </w:rPr>
      </w:pPr>
      <w:r>
        <w:rPr>
          <w:rFonts w:cs="Verdana" w:ascii="Verdana" w:hAnsi="Verdana"/>
          <w:sz w:val="20"/>
          <w:szCs w:val="20"/>
        </w:rPr>
        <w:t>Determinada por ato unilateral e escrito do CONTRATANTE, nos casos específicos enumerados neste contrato, ou razões de interesse público justificado;</w:t>
      </w:r>
    </w:p>
    <w:p>
      <w:pPr>
        <w:pStyle w:val="Normal"/>
        <w:numPr>
          <w:ilvl w:val="0"/>
          <w:numId w:val="4"/>
        </w:numPr>
        <w:tabs>
          <w:tab w:val="clear" w:pos="708"/>
          <w:tab w:val="left" w:pos="400" w:leader="none"/>
        </w:tabs>
        <w:overflowPunct w:val="false"/>
        <w:spacing w:lineRule="auto" w:line="276" w:before="0" w:after="0"/>
        <w:ind w:hanging="0" w:left="0" w:right="0"/>
        <w:jc w:val="both"/>
        <w:textAlignment w:val="auto"/>
        <w:rPr>
          <w:rFonts w:ascii="Verdana" w:hAnsi="Verdana" w:cs="Verdana"/>
          <w:sz w:val="20"/>
          <w:szCs w:val="20"/>
        </w:rPr>
      </w:pPr>
      <w:r>
        <w:rPr>
          <w:rFonts w:cs="Verdana" w:ascii="Verdana" w:hAnsi="Verdana"/>
          <w:sz w:val="20"/>
          <w:szCs w:val="20"/>
        </w:rPr>
        <w:t>Amigável, por acordo entre as partes e reduzido a termo no processo, desde que haja conveniência para a Administração;</w:t>
      </w:r>
    </w:p>
    <w:p>
      <w:pPr>
        <w:pStyle w:val="Normal"/>
        <w:numPr>
          <w:ilvl w:val="0"/>
          <w:numId w:val="4"/>
        </w:numPr>
        <w:tabs>
          <w:tab w:val="clear" w:pos="708"/>
          <w:tab w:val="left" w:pos="400" w:leader="none"/>
        </w:tabs>
        <w:overflowPunct w:val="false"/>
        <w:spacing w:lineRule="auto" w:line="276" w:before="0" w:after="0"/>
        <w:ind w:hanging="0" w:left="0" w:right="0"/>
        <w:jc w:val="both"/>
        <w:textAlignment w:val="auto"/>
        <w:rPr>
          <w:rFonts w:ascii="Verdana" w:hAnsi="Verdana" w:cs="Verdana"/>
          <w:sz w:val="20"/>
          <w:szCs w:val="20"/>
        </w:rPr>
      </w:pPr>
      <w:r>
        <w:rPr>
          <w:rFonts w:cs="Verdana" w:ascii="Verdana" w:hAnsi="Verdana"/>
          <w:sz w:val="20"/>
          <w:szCs w:val="20"/>
        </w:rPr>
        <w:t>Judicial, nos termos da legislação.</w:t>
      </w:r>
    </w:p>
    <w:p>
      <w:pPr>
        <w:pStyle w:val="Normal"/>
        <w:spacing w:lineRule="auto" w:line="276" w:before="0" w:after="0"/>
        <w:ind w:hanging="0" w:left="0" w:right="0"/>
        <w:jc w:val="both"/>
        <w:rPr/>
      </w:pPr>
      <w:r>
        <w:rPr>
          <w:rFonts w:cs="Verdana" w:ascii="Verdana" w:hAnsi="Verdana"/>
          <w:b/>
          <w:sz w:val="20"/>
          <w:szCs w:val="20"/>
        </w:rPr>
        <w:t xml:space="preserve">11.2 </w:t>
      </w:r>
      <w:r>
        <w:rPr>
          <w:rFonts w:cs="Verdana" w:ascii="Verdana" w:hAnsi="Verdana"/>
          <w:sz w:val="20"/>
          <w:szCs w:val="20"/>
        </w:rPr>
        <w:t>A rescisão administrativa ou amigável deverá ser precedida de autorização escrita e fundamentada da CONTRATANTE.</w:t>
      </w:r>
    </w:p>
    <w:p>
      <w:pPr>
        <w:pStyle w:val="Normal"/>
        <w:spacing w:lineRule="auto" w:line="276" w:before="0" w:after="0"/>
        <w:ind w:hanging="0" w:left="0" w:right="0"/>
        <w:jc w:val="both"/>
        <w:rPr/>
      </w:pPr>
      <w:r>
        <w:rPr>
          <w:rFonts w:cs="Verdana" w:ascii="Verdana" w:hAnsi="Verdana"/>
          <w:b/>
          <w:sz w:val="20"/>
          <w:szCs w:val="20"/>
        </w:rPr>
        <w:t xml:space="preserve">11.3 </w:t>
      </w:r>
      <w:r>
        <w:rPr>
          <w:rFonts w:cs="Verdana" w:ascii="Verdana" w:hAnsi="Verdana"/>
          <w:sz w:val="20"/>
          <w:szCs w:val="20"/>
        </w:rPr>
        <w:t>Em caso algum a CONTRATANTE pagará indenização à CONTRATADA por encargos resultantes da Legislação Trabalhista, Previdenciária, Fiscal e Comercial, ou outros, bem como aqueles resultantes de atos ilícitos praticados pela CONTRATADA e seus prepostos a terceiros.</w:t>
      </w:r>
    </w:p>
    <w:p>
      <w:pPr>
        <w:pStyle w:val="Normal"/>
        <w:spacing w:lineRule="auto" w:line="276" w:before="0" w:after="0"/>
        <w:ind w:hanging="0" w:left="0" w:right="0"/>
        <w:jc w:val="both"/>
        <w:rPr/>
      </w:pPr>
      <w:r>
        <w:rPr>
          <w:rFonts w:cs="Verdana" w:ascii="Verdana" w:hAnsi="Verdana"/>
          <w:b/>
          <w:sz w:val="20"/>
          <w:szCs w:val="20"/>
          <w:u w:val="single"/>
        </w:rPr>
        <w:t>CLÁUSULA DÉCIMA SEGUNDA – DA LEGISLAÇÃO APLICÁVEL</w:t>
      </w:r>
    </w:p>
    <w:p>
      <w:pPr>
        <w:pStyle w:val="Normal"/>
        <w:spacing w:lineRule="auto" w:line="276" w:before="0" w:after="0"/>
        <w:ind w:hanging="0" w:left="0" w:right="0"/>
        <w:jc w:val="both"/>
        <w:rPr/>
      </w:pPr>
      <w:r>
        <w:rPr>
          <w:rFonts w:cs="Verdana" w:ascii="Verdana" w:hAnsi="Verdana"/>
          <w:b/>
          <w:sz w:val="20"/>
          <w:szCs w:val="20"/>
        </w:rPr>
        <w:t xml:space="preserve">12.1 </w:t>
      </w:r>
      <w:r>
        <w:rPr>
          <w:rFonts w:cs="Verdana" w:ascii="Verdana" w:hAnsi="Verdana"/>
          <w:sz w:val="20"/>
          <w:szCs w:val="20"/>
        </w:rPr>
        <w:t>Os casos omissos nesse Contrato serão resolvidos aplicando a Lei 14.133/2021 consolidada e demais legislações aplicáveis à espécie, no que couberem.</w:t>
      </w:r>
    </w:p>
    <w:p>
      <w:pPr>
        <w:pStyle w:val="Normal"/>
        <w:spacing w:lineRule="auto" w:line="276" w:before="0" w:after="0"/>
        <w:ind w:hanging="0" w:left="0" w:right="0"/>
        <w:jc w:val="both"/>
        <w:rPr>
          <w:rFonts w:ascii="Verdana" w:hAnsi="Verdana"/>
          <w:sz w:val="20"/>
          <w:szCs w:val="20"/>
        </w:rPr>
      </w:pPr>
      <w:r>
        <w:rPr>
          <w:rFonts w:ascii="Verdana" w:hAnsi="Verdana"/>
          <w:sz w:val="20"/>
          <w:szCs w:val="20"/>
        </w:rPr>
      </w:r>
    </w:p>
    <w:p>
      <w:pPr>
        <w:pStyle w:val="Normal"/>
        <w:tabs>
          <w:tab w:val="clear" w:pos="708"/>
          <w:tab w:val="left" w:pos="-2268" w:leader="none"/>
        </w:tabs>
        <w:spacing w:lineRule="auto" w:line="276" w:before="0" w:after="0"/>
        <w:ind w:hanging="0" w:left="0" w:right="0"/>
        <w:jc w:val="both"/>
        <w:rPr>
          <w:rFonts w:ascii="Verdana" w:hAnsi="Verdana" w:cs="Verdana"/>
          <w:b/>
          <w:sz w:val="20"/>
          <w:szCs w:val="20"/>
          <w:u w:val="single"/>
        </w:rPr>
      </w:pPr>
      <w:r>
        <w:rPr>
          <w:rFonts w:cs="Verdana" w:ascii="Verdana" w:hAnsi="Verdana"/>
          <w:b/>
          <w:sz w:val="20"/>
          <w:szCs w:val="20"/>
          <w:u w:val="single"/>
        </w:rPr>
        <w:t>CLÁUSULA DÉCIMA TERCEIRA – SUB CONTRATAÇÃO</w:t>
      </w:r>
    </w:p>
    <w:p>
      <w:pPr>
        <w:pStyle w:val="Normal"/>
        <w:tabs>
          <w:tab w:val="clear" w:pos="708"/>
          <w:tab w:val="left" w:pos="-2268" w:leader="none"/>
        </w:tabs>
        <w:spacing w:lineRule="auto" w:line="276" w:before="0" w:after="0"/>
        <w:ind w:hanging="0" w:left="0" w:right="0"/>
        <w:jc w:val="both"/>
        <w:rPr/>
      </w:pPr>
      <w:r>
        <w:rPr>
          <w:rFonts w:cs="Verdana" w:ascii="Verdana" w:hAnsi="Verdana"/>
          <w:b/>
          <w:sz w:val="20"/>
          <w:szCs w:val="20"/>
        </w:rPr>
        <w:t xml:space="preserve">13.1 </w:t>
      </w:r>
      <w:r>
        <w:rPr>
          <w:rFonts w:cs="Verdana" w:ascii="Verdana" w:hAnsi="Verdana"/>
          <w:sz w:val="20"/>
          <w:szCs w:val="20"/>
        </w:rPr>
        <w:t>A subcontratação total ou parcial do objeto do presente contratado, a cessão ou transferência, total ou parcial, bem como a fusão, cisão ou incorporação, poderá ocorrer com a anuência do CONTRATANTE;</w:t>
      </w:r>
    </w:p>
    <w:p>
      <w:pPr>
        <w:pStyle w:val="Normal"/>
        <w:tabs>
          <w:tab w:val="clear" w:pos="708"/>
          <w:tab w:val="left" w:pos="-2268" w:leader="none"/>
        </w:tabs>
        <w:spacing w:lineRule="auto" w:line="276" w:before="0" w:after="0"/>
        <w:ind w:hanging="0" w:left="0" w:right="0"/>
        <w:jc w:val="both"/>
        <w:rPr>
          <w:rFonts w:ascii="Verdana" w:hAnsi="Verdana"/>
          <w:sz w:val="20"/>
          <w:szCs w:val="20"/>
        </w:rPr>
      </w:pPr>
      <w:r>
        <w:rPr>
          <w:rFonts w:ascii="Verdana" w:hAnsi="Verdana"/>
          <w:sz w:val="20"/>
          <w:szCs w:val="20"/>
        </w:rPr>
      </w:r>
    </w:p>
    <w:p>
      <w:pPr>
        <w:pStyle w:val="Heading4"/>
        <w:numPr>
          <w:ilvl w:val="0"/>
          <w:numId w:val="0"/>
        </w:numPr>
        <w:spacing w:lineRule="auto" w:line="276" w:before="0" w:after="0"/>
        <w:ind w:hanging="0" w:left="0" w:right="0"/>
        <w:jc w:val="both"/>
        <w:rPr>
          <w:rFonts w:ascii="Verdana" w:hAnsi="Verdana" w:cs="Verdana"/>
          <w:sz w:val="20"/>
          <w:szCs w:val="20"/>
          <w:u w:val="single"/>
        </w:rPr>
      </w:pPr>
      <w:r>
        <w:rPr>
          <w:rFonts w:cs="Verdana" w:ascii="Verdana" w:hAnsi="Verdana"/>
          <w:sz w:val="20"/>
          <w:szCs w:val="20"/>
          <w:u w:val="single"/>
        </w:rPr>
        <w:t>CLÁUSULA DÉCIMA QUARTA – DO ADITAMENTO</w:t>
      </w:r>
    </w:p>
    <w:p>
      <w:pPr>
        <w:pStyle w:val="Normal"/>
        <w:spacing w:lineRule="auto" w:line="276" w:before="0" w:after="0"/>
        <w:ind w:hanging="0" w:left="0" w:right="0"/>
        <w:jc w:val="both"/>
        <w:rPr/>
      </w:pPr>
      <w:r>
        <w:rPr>
          <w:rFonts w:cs="Verdana" w:ascii="Verdana" w:hAnsi="Verdana"/>
          <w:b/>
          <w:sz w:val="20"/>
          <w:szCs w:val="20"/>
        </w:rPr>
        <w:t xml:space="preserve">14.1 </w:t>
      </w:r>
      <w:r>
        <w:rPr>
          <w:rFonts w:cs="Verdana" w:ascii="Verdana" w:hAnsi="Verdana"/>
          <w:sz w:val="20"/>
          <w:szCs w:val="20"/>
        </w:rPr>
        <w:t>A partir da assinatura deste contrato, a este passam a ser aplicáveis todos os termos de aditamento que vierem a ser celebrados e que importem em alteração de qualquer condição descrita no presente contrato, desde que sejam assinados por representantes das partes, observados os limites e as formalidades legais, bem como ocorrerem por conveniência da administração.</w:t>
      </w:r>
    </w:p>
    <w:p>
      <w:pPr>
        <w:pStyle w:val="Normal"/>
        <w:spacing w:lineRule="auto" w:line="276" w:before="0" w:after="0"/>
        <w:ind w:hanging="0" w:left="0" w:right="0"/>
        <w:jc w:val="both"/>
        <w:rPr>
          <w:rFonts w:ascii="Verdana" w:hAnsi="Verdana"/>
          <w:sz w:val="20"/>
          <w:szCs w:val="20"/>
        </w:rPr>
      </w:pPr>
      <w:r>
        <w:rPr>
          <w:rFonts w:ascii="Verdana" w:hAnsi="Verdana"/>
          <w:sz w:val="20"/>
          <w:szCs w:val="20"/>
        </w:rPr>
      </w:r>
    </w:p>
    <w:p>
      <w:pPr>
        <w:pStyle w:val="Normal"/>
        <w:spacing w:lineRule="auto" w:line="276" w:before="0" w:after="0"/>
        <w:ind w:hanging="0" w:left="0" w:right="0"/>
        <w:jc w:val="both"/>
        <w:rPr>
          <w:rFonts w:ascii="Verdana" w:hAnsi="Verdana" w:cs="Verdana"/>
          <w:b/>
          <w:sz w:val="20"/>
          <w:szCs w:val="20"/>
          <w:u w:val="single"/>
        </w:rPr>
      </w:pPr>
      <w:r>
        <w:rPr>
          <w:rFonts w:cs="Verdana" w:ascii="Verdana" w:hAnsi="Verdana"/>
          <w:b/>
          <w:sz w:val="20"/>
          <w:szCs w:val="20"/>
          <w:u w:val="single"/>
        </w:rPr>
        <w:t>CLÁUSULA DÉCIMA QUINTA – DA PUBLICAÇÃO</w:t>
      </w:r>
    </w:p>
    <w:p>
      <w:pPr>
        <w:pStyle w:val="Normal"/>
        <w:spacing w:lineRule="auto" w:line="276" w:before="0" w:after="0"/>
        <w:ind w:hanging="0" w:left="0" w:right="0"/>
        <w:jc w:val="both"/>
        <w:rPr/>
      </w:pPr>
      <w:r>
        <w:rPr>
          <w:rFonts w:cs="Verdana" w:ascii="Verdana" w:hAnsi="Verdana"/>
          <w:b/>
          <w:sz w:val="20"/>
          <w:szCs w:val="20"/>
        </w:rPr>
        <w:t>15.1</w:t>
      </w:r>
      <w:r>
        <w:rPr>
          <w:rFonts w:cs="Verdana" w:ascii="Verdana" w:hAnsi="Verdana"/>
          <w:sz w:val="20"/>
          <w:szCs w:val="20"/>
        </w:rPr>
        <w:t xml:space="preserve"> O presente Contrato e seus aditamentos terão forma escrita e serão juntados ao processo que tiver dado origem à contratação, divulgados e mantidos à disposição do público em sítio eletrônico oficial.</w:t>
      </w:r>
    </w:p>
    <w:p>
      <w:pPr>
        <w:pStyle w:val="Normal"/>
        <w:spacing w:lineRule="auto" w:line="276" w:before="0" w:after="0"/>
        <w:ind w:hanging="0" w:left="0" w:right="0"/>
        <w:jc w:val="both"/>
        <w:rPr>
          <w:rFonts w:ascii="Verdana" w:hAnsi="Verdana"/>
          <w:sz w:val="20"/>
          <w:szCs w:val="20"/>
        </w:rPr>
      </w:pPr>
      <w:r>
        <w:rPr>
          <w:rFonts w:ascii="Verdana" w:hAnsi="Verdana"/>
          <w:sz w:val="20"/>
          <w:szCs w:val="20"/>
        </w:rPr>
      </w:r>
    </w:p>
    <w:p>
      <w:pPr>
        <w:pStyle w:val="Heading3"/>
        <w:numPr>
          <w:ilvl w:val="0"/>
          <w:numId w:val="0"/>
        </w:numPr>
        <w:spacing w:lineRule="auto" w:line="276" w:before="0" w:after="0"/>
        <w:ind w:hanging="0" w:left="0" w:right="0"/>
        <w:rPr>
          <w:rFonts w:ascii="Verdana" w:hAnsi="Verdana" w:cs="Verdana"/>
          <w:b/>
          <w:sz w:val="20"/>
          <w:szCs w:val="20"/>
          <w:u w:val="single"/>
        </w:rPr>
      </w:pPr>
      <w:r>
        <w:rPr>
          <w:rFonts w:cs="Verdana" w:ascii="Verdana" w:hAnsi="Verdana"/>
          <w:b/>
          <w:sz w:val="20"/>
          <w:szCs w:val="20"/>
          <w:u w:val="single"/>
        </w:rPr>
        <w:t>CLÁUSULA DÉCIMA SEXTA – FORO</w:t>
      </w:r>
    </w:p>
    <w:p>
      <w:pPr>
        <w:pStyle w:val="Normal"/>
        <w:spacing w:lineRule="auto" w:line="276" w:before="0" w:after="0"/>
        <w:ind w:hanging="0" w:left="0" w:right="0"/>
        <w:jc w:val="both"/>
        <w:rPr/>
      </w:pPr>
      <w:r>
        <w:rPr>
          <w:rFonts w:cs="Verdana" w:ascii="Verdana" w:hAnsi="Verdana"/>
          <w:b/>
          <w:sz w:val="20"/>
          <w:szCs w:val="20"/>
        </w:rPr>
        <w:t>16.1</w:t>
      </w:r>
      <w:r>
        <w:rPr>
          <w:rFonts w:cs="Verdana" w:ascii="Verdana" w:hAnsi="Verdana"/>
          <w:sz w:val="20"/>
          <w:szCs w:val="20"/>
        </w:rPr>
        <w:t xml:space="preserve"> 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pPr>
        <w:pStyle w:val="Normal"/>
        <w:tabs>
          <w:tab w:val="clear" w:pos="708"/>
          <w:tab w:val="left" w:pos="-2268" w:leader="none"/>
        </w:tabs>
        <w:spacing w:lineRule="auto" w:line="276" w:before="0" w:after="0"/>
        <w:ind w:hanging="0" w:left="0" w:right="0"/>
        <w:jc w:val="both"/>
        <w:rPr>
          <w:rFonts w:ascii="Verdana" w:hAnsi="Verdana" w:cs="Verdana"/>
          <w:sz w:val="20"/>
          <w:szCs w:val="20"/>
        </w:rPr>
      </w:pPr>
      <w:r>
        <w:rPr>
          <w:rFonts w:cs="Verdana" w:ascii="Verdana" w:hAnsi="Verdana"/>
          <w:sz w:val="20"/>
          <w:szCs w:val="20"/>
        </w:rPr>
      </w:r>
    </w:p>
    <w:p>
      <w:pPr>
        <w:pStyle w:val="Normal"/>
        <w:tabs>
          <w:tab w:val="clear" w:pos="708"/>
          <w:tab w:val="left" w:pos="-2268" w:leader="none"/>
        </w:tabs>
        <w:spacing w:lineRule="auto" w:line="276" w:before="0" w:after="0"/>
        <w:ind w:hanging="0" w:left="0" w:right="0"/>
        <w:jc w:val="both"/>
        <w:rPr>
          <w:rFonts w:ascii="Verdana" w:hAnsi="Verdana" w:cs="Verdana"/>
          <w:sz w:val="20"/>
          <w:szCs w:val="20"/>
        </w:rPr>
      </w:pPr>
      <w:r>
        <w:rPr>
          <w:rFonts w:cs="Verdana" w:ascii="Verdana" w:hAnsi="Verdana"/>
          <w:sz w:val="20"/>
          <w:szCs w:val="20"/>
        </w:rPr>
        <w:t>E, por estarem justos, combinados, assinam o presente instrumento, após lido e achado conforme, na presença das testemunhas abaixo assinadas.</w:t>
      </w:r>
    </w:p>
    <w:p>
      <w:pPr>
        <w:pStyle w:val="Normal"/>
        <w:spacing w:lineRule="auto" w:line="276" w:before="0" w:after="0"/>
        <w:ind w:hanging="0" w:left="0" w:right="0"/>
        <w:rPr>
          <w:rFonts w:ascii="Verdana" w:hAnsi="Verdana" w:cs="Verdana"/>
          <w:sz w:val="20"/>
          <w:szCs w:val="20"/>
        </w:rPr>
      </w:pPr>
      <w:r>
        <w:rPr>
          <w:rFonts w:cs="Verdana" w:ascii="Verdana" w:hAnsi="Verdana"/>
          <w:sz w:val="20"/>
          <w:szCs w:val="20"/>
        </w:rPr>
      </w:r>
    </w:p>
    <w:p>
      <w:pPr>
        <w:pStyle w:val="Normal"/>
        <w:spacing w:lineRule="auto" w:line="276" w:before="0" w:after="0"/>
        <w:ind w:hanging="0" w:left="0" w:right="0"/>
        <w:jc w:val="right"/>
        <w:rPr>
          <w:rFonts w:ascii="Verdana" w:hAnsi="Verdana" w:cs="Verdana"/>
          <w:sz w:val="20"/>
          <w:szCs w:val="20"/>
        </w:rPr>
      </w:pPr>
      <w:r>
        <w:rPr>
          <w:rFonts w:cs="Verdana" w:ascii="Verdana" w:hAnsi="Verdana"/>
          <w:sz w:val="20"/>
          <w:szCs w:val="20"/>
        </w:rPr>
        <w:t>São Gabriel da Palha, em .............. de 2024.</w:t>
      </w:r>
    </w:p>
    <w:p>
      <w:pPr>
        <w:pStyle w:val="Normal"/>
        <w:spacing w:lineRule="auto" w:line="276" w:before="0" w:after="0"/>
        <w:ind w:hanging="0" w:left="0" w:right="0"/>
        <w:jc w:val="center"/>
        <w:rPr>
          <w:rFonts w:ascii="Verdana" w:hAnsi="Verdana" w:cs="Verdana"/>
          <w:sz w:val="20"/>
          <w:szCs w:val="20"/>
        </w:rPr>
      </w:pPr>
      <w:r>
        <w:rPr>
          <w:rFonts w:cs="Verdana" w:ascii="Verdana" w:hAnsi="Verdana"/>
          <w:sz w:val="20"/>
          <w:szCs w:val="20"/>
        </w:rPr>
      </w:r>
    </w:p>
    <w:p>
      <w:pPr>
        <w:pStyle w:val="Normal"/>
        <w:spacing w:lineRule="auto" w:line="276" w:before="0" w:after="0"/>
        <w:ind w:hanging="0" w:left="0" w:right="0"/>
        <w:jc w:val="center"/>
        <w:rPr>
          <w:rFonts w:ascii="Verdana" w:hAnsi="Verdana" w:cs="Verdana"/>
          <w:b/>
          <w:sz w:val="20"/>
          <w:szCs w:val="20"/>
        </w:rPr>
      </w:pPr>
      <w:r>
        <w:rPr>
          <w:rFonts w:cs="Verdana" w:ascii="Verdana" w:hAnsi="Verdana"/>
          <w:b/>
          <w:sz w:val="20"/>
          <w:szCs w:val="20"/>
        </w:rPr>
        <w:t>Prefeito Municipal</w:t>
      </w:r>
    </w:p>
    <w:p>
      <w:pPr>
        <w:pStyle w:val="Normal"/>
        <w:spacing w:lineRule="auto" w:line="276" w:before="0" w:after="0"/>
        <w:ind w:hanging="0" w:left="0" w:right="0"/>
        <w:jc w:val="center"/>
        <w:rPr>
          <w:rFonts w:ascii="Verdana" w:hAnsi="Verdana" w:cs="Verdana"/>
          <w:b/>
          <w:sz w:val="20"/>
          <w:szCs w:val="20"/>
        </w:rPr>
      </w:pPr>
      <w:r>
        <w:rPr>
          <w:rFonts w:cs="Verdana" w:ascii="Verdana" w:hAnsi="Verdana"/>
          <w:b/>
          <w:sz w:val="20"/>
          <w:szCs w:val="20"/>
        </w:rPr>
        <w:t>CONTRATANTE</w:t>
      </w:r>
    </w:p>
    <w:p>
      <w:pPr>
        <w:pStyle w:val="Normal"/>
        <w:spacing w:lineRule="auto" w:line="276" w:before="0" w:after="0"/>
        <w:ind w:hanging="0" w:left="0" w:right="0"/>
        <w:jc w:val="center"/>
        <w:rPr>
          <w:rFonts w:ascii="Verdana" w:hAnsi="Verdana" w:cs="Verdana"/>
          <w:b/>
          <w:sz w:val="20"/>
          <w:szCs w:val="20"/>
        </w:rPr>
      </w:pPr>
      <w:r>
        <w:rPr>
          <w:rFonts w:cs="Verdana" w:ascii="Verdana" w:hAnsi="Verdana"/>
          <w:b/>
          <w:sz w:val="20"/>
          <w:szCs w:val="20"/>
        </w:rPr>
      </w:r>
    </w:p>
    <w:p>
      <w:pPr>
        <w:pStyle w:val="Normal"/>
        <w:spacing w:lineRule="auto" w:line="276" w:before="0" w:after="0"/>
        <w:ind w:hanging="0" w:left="0" w:right="0"/>
        <w:jc w:val="center"/>
        <w:rPr>
          <w:rFonts w:ascii="Verdana" w:hAnsi="Verdana" w:cs="Verdana"/>
          <w:b/>
          <w:sz w:val="20"/>
          <w:szCs w:val="20"/>
        </w:rPr>
      </w:pPr>
      <w:r>
        <w:rPr>
          <w:rFonts w:cs="Verdana" w:ascii="Verdana" w:hAnsi="Verdana"/>
          <w:b/>
          <w:sz w:val="20"/>
          <w:szCs w:val="20"/>
        </w:rPr>
        <w:t>CONTRATADO</w:t>
      </w:r>
    </w:p>
    <w:p>
      <w:pPr>
        <w:pStyle w:val="Normal"/>
        <w:spacing w:lineRule="auto" w:line="276" w:before="0" w:after="0"/>
        <w:ind w:hanging="0" w:left="0" w:right="0"/>
        <w:jc w:val="center"/>
        <w:rPr>
          <w:rFonts w:ascii="Verdana" w:hAnsi="Verdana" w:cs="Verdana"/>
          <w:b/>
          <w:sz w:val="20"/>
          <w:szCs w:val="20"/>
        </w:rPr>
      </w:pPr>
      <w:r>
        <w:rPr>
          <w:rFonts w:cs="Verdana" w:ascii="Verdana" w:hAnsi="Verdana"/>
          <w:b/>
          <w:sz w:val="20"/>
          <w:szCs w:val="20"/>
        </w:rPr>
      </w:r>
    </w:p>
    <w:tbl>
      <w:tblPr>
        <w:tblW w:w="9072" w:type="dxa"/>
        <w:jc w:val="left"/>
        <w:tblInd w:w="0" w:type="dxa"/>
        <w:tblLayout w:type="fixed"/>
        <w:tblCellMar>
          <w:top w:w="0" w:type="dxa"/>
          <w:left w:w="70" w:type="dxa"/>
          <w:bottom w:w="0" w:type="dxa"/>
          <w:right w:w="70" w:type="dxa"/>
        </w:tblCellMar>
      </w:tblPr>
      <w:tblGrid>
        <w:gridCol w:w="3959"/>
        <w:gridCol w:w="721"/>
        <w:gridCol w:w="4392"/>
      </w:tblGrid>
      <w:tr>
        <w:trPr>
          <w:trHeight w:val="420" w:hRule="atLeast"/>
          <w:cantSplit w:val="true"/>
        </w:trPr>
        <w:tc>
          <w:tcPr>
            <w:tcW w:w="3959" w:type="dxa"/>
            <w:tcBorders/>
          </w:tcPr>
          <w:p>
            <w:pPr>
              <w:pStyle w:val="Normal"/>
              <w:widowControl w:val="false"/>
              <w:spacing w:lineRule="auto" w:line="276" w:before="0" w:after="0"/>
              <w:ind w:hanging="0" w:left="0" w:right="0"/>
              <w:rPr>
                <w:rFonts w:ascii="Verdana" w:hAnsi="Verdana" w:cs="Verdana"/>
                <w:sz w:val="20"/>
                <w:szCs w:val="20"/>
              </w:rPr>
            </w:pPr>
            <w:r>
              <w:rPr>
                <w:rFonts w:cs="Verdana" w:ascii="Verdana" w:hAnsi="Verdana"/>
                <w:sz w:val="20"/>
                <w:szCs w:val="20"/>
              </w:rPr>
              <w:t>Testemunhas:</w:t>
            </w:r>
          </w:p>
        </w:tc>
        <w:tc>
          <w:tcPr>
            <w:tcW w:w="721" w:type="dxa"/>
            <w:tcBorders/>
          </w:tcPr>
          <w:p>
            <w:pPr>
              <w:pStyle w:val="Normal"/>
              <w:widowControl w:val="false"/>
              <w:snapToGrid w:val="false"/>
              <w:spacing w:lineRule="auto" w:line="276" w:before="0" w:after="0"/>
              <w:ind w:hanging="0" w:left="0" w:right="0"/>
              <w:rPr>
                <w:rFonts w:ascii="Verdana" w:hAnsi="Verdana" w:cs="Verdana"/>
                <w:sz w:val="20"/>
                <w:szCs w:val="20"/>
              </w:rPr>
            </w:pPr>
            <w:r>
              <w:rPr>
                <w:rFonts w:cs="Verdana" w:ascii="Verdana" w:hAnsi="Verdana"/>
                <w:sz w:val="20"/>
                <w:szCs w:val="20"/>
              </w:rPr>
            </w:r>
          </w:p>
        </w:tc>
        <w:tc>
          <w:tcPr>
            <w:tcW w:w="4392" w:type="dxa"/>
            <w:tcBorders/>
          </w:tcPr>
          <w:p>
            <w:pPr>
              <w:pStyle w:val="Normal"/>
              <w:widowControl w:val="false"/>
              <w:spacing w:lineRule="auto" w:line="276" w:before="0" w:after="0"/>
              <w:ind w:hanging="0" w:left="0" w:right="0"/>
              <w:rPr>
                <w:rFonts w:ascii="Verdana" w:hAnsi="Verdana" w:cs="Verdana"/>
                <w:sz w:val="20"/>
                <w:szCs w:val="20"/>
              </w:rPr>
            </w:pPr>
            <w:r>
              <w:rPr>
                <w:rFonts w:cs="Verdana" w:ascii="Verdana" w:hAnsi="Verdana"/>
                <w:sz w:val="20"/>
                <w:szCs w:val="20"/>
              </w:rPr>
              <w:t>CPF:</w:t>
            </w:r>
          </w:p>
        </w:tc>
      </w:tr>
      <w:tr>
        <w:trPr/>
        <w:tc>
          <w:tcPr>
            <w:tcW w:w="3959" w:type="dxa"/>
            <w:tcBorders/>
          </w:tcPr>
          <w:p>
            <w:pPr>
              <w:pStyle w:val="Normal"/>
              <w:widowControl w:val="false"/>
              <w:snapToGrid w:val="false"/>
              <w:spacing w:lineRule="auto" w:line="276" w:before="0" w:after="0"/>
              <w:ind w:hanging="0" w:left="0" w:right="0"/>
              <w:rPr>
                <w:rFonts w:ascii="Verdana" w:hAnsi="Verdana" w:cs="Verdana"/>
                <w:sz w:val="20"/>
                <w:szCs w:val="20"/>
              </w:rPr>
            </w:pPr>
            <w:r>
              <w:rPr>
                <w:rFonts w:cs="Verdana" w:ascii="Verdana" w:hAnsi="Verdana"/>
                <w:sz w:val="20"/>
                <w:szCs w:val="20"/>
              </w:rPr>
            </w:r>
          </w:p>
          <w:p>
            <w:pPr>
              <w:pStyle w:val="Normal"/>
              <w:widowControl w:val="false"/>
              <w:snapToGrid w:val="false"/>
              <w:spacing w:lineRule="auto" w:line="276" w:before="0" w:after="0"/>
              <w:ind w:hanging="0" w:left="0" w:right="0"/>
              <w:rPr>
                <w:rFonts w:ascii="Verdana" w:hAnsi="Verdana" w:cs="Verdana"/>
                <w:sz w:val="20"/>
                <w:szCs w:val="20"/>
              </w:rPr>
            </w:pPr>
            <w:r>
              <w:rPr>
                <w:rFonts w:cs="Verdana" w:ascii="Verdana" w:hAnsi="Verdana"/>
                <w:sz w:val="20"/>
                <w:szCs w:val="20"/>
              </w:rPr>
            </w:r>
          </w:p>
        </w:tc>
        <w:tc>
          <w:tcPr>
            <w:tcW w:w="721" w:type="dxa"/>
            <w:tcBorders/>
          </w:tcPr>
          <w:p>
            <w:pPr>
              <w:pStyle w:val="Normal"/>
              <w:widowControl w:val="false"/>
              <w:snapToGrid w:val="false"/>
              <w:spacing w:lineRule="auto" w:line="276" w:before="0" w:after="0"/>
              <w:ind w:hanging="0" w:left="0" w:right="0"/>
              <w:rPr>
                <w:rFonts w:ascii="Verdana" w:hAnsi="Verdana" w:cs="Verdana"/>
                <w:sz w:val="20"/>
                <w:szCs w:val="20"/>
              </w:rPr>
            </w:pPr>
            <w:r>
              <w:rPr>
                <w:rFonts w:cs="Verdana" w:ascii="Verdana" w:hAnsi="Verdana"/>
                <w:sz w:val="20"/>
                <w:szCs w:val="20"/>
              </w:rPr>
            </w:r>
          </w:p>
        </w:tc>
        <w:tc>
          <w:tcPr>
            <w:tcW w:w="4392" w:type="dxa"/>
            <w:tcBorders/>
          </w:tcPr>
          <w:p>
            <w:pPr>
              <w:pStyle w:val="Normal"/>
              <w:widowControl w:val="false"/>
              <w:snapToGrid w:val="false"/>
              <w:spacing w:lineRule="auto" w:line="276" w:before="0" w:after="0"/>
              <w:ind w:hanging="0" w:left="0" w:right="0"/>
              <w:rPr>
                <w:rFonts w:ascii="Verdana" w:hAnsi="Verdana" w:cs="Verdana"/>
                <w:sz w:val="20"/>
                <w:szCs w:val="20"/>
              </w:rPr>
            </w:pPr>
            <w:r>
              <w:rPr>
                <w:rFonts w:cs="Verdana" w:ascii="Verdana" w:hAnsi="Verdana"/>
                <w:sz w:val="20"/>
                <w:szCs w:val="20"/>
              </w:rPr>
            </w:r>
          </w:p>
        </w:tc>
      </w:tr>
      <w:tr>
        <w:trPr/>
        <w:tc>
          <w:tcPr>
            <w:tcW w:w="3959" w:type="dxa"/>
            <w:tcBorders>
              <w:top w:val="single" w:sz="4" w:space="0" w:color="000000"/>
              <w:bottom w:val="single" w:sz="4" w:space="0" w:color="000000"/>
            </w:tcBorders>
          </w:tcPr>
          <w:p>
            <w:pPr>
              <w:pStyle w:val="Normal"/>
              <w:widowControl w:val="false"/>
              <w:snapToGrid w:val="false"/>
              <w:spacing w:lineRule="auto" w:line="276" w:before="0" w:after="0"/>
              <w:ind w:hanging="0" w:left="0" w:right="0"/>
              <w:rPr>
                <w:rFonts w:ascii="Verdana" w:hAnsi="Verdana" w:cs="Verdana"/>
                <w:sz w:val="20"/>
                <w:szCs w:val="20"/>
              </w:rPr>
            </w:pPr>
            <w:r>
              <w:rPr>
                <w:rFonts w:cs="Verdana" w:ascii="Verdana" w:hAnsi="Verdana"/>
                <w:sz w:val="20"/>
                <w:szCs w:val="20"/>
              </w:rPr>
            </w:r>
          </w:p>
        </w:tc>
        <w:tc>
          <w:tcPr>
            <w:tcW w:w="721" w:type="dxa"/>
            <w:tcBorders/>
          </w:tcPr>
          <w:p>
            <w:pPr>
              <w:pStyle w:val="Normal"/>
              <w:widowControl w:val="false"/>
              <w:snapToGrid w:val="false"/>
              <w:spacing w:lineRule="auto" w:line="276" w:before="0" w:after="0"/>
              <w:ind w:hanging="0" w:left="0" w:right="0"/>
              <w:rPr>
                <w:rFonts w:ascii="Verdana" w:hAnsi="Verdana" w:cs="Verdana"/>
                <w:sz w:val="20"/>
                <w:szCs w:val="20"/>
              </w:rPr>
            </w:pPr>
            <w:r>
              <w:rPr>
                <w:rFonts w:cs="Verdana" w:ascii="Verdana" w:hAnsi="Verdana"/>
                <w:sz w:val="20"/>
                <w:szCs w:val="20"/>
              </w:rPr>
            </w:r>
          </w:p>
        </w:tc>
        <w:tc>
          <w:tcPr>
            <w:tcW w:w="4392" w:type="dxa"/>
            <w:tcBorders>
              <w:top w:val="single" w:sz="4" w:space="0" w:color="000000"/>
              <w:bottom w:val="single" w:sz="4" w:space="0" w:color="000000"/>
            </w:tcBorders>
          </w:tcPr>
          <w:p>
            <w:pPr>
              <w:pStyle w:val="Normal"/>
              <w:widowControl w:val="false"/>
              <w:snapToGrid w:val="false"/>
              <w:spacing w:lineRule="auto" w:line="276" w:before="0" w:after="0"/>
              <w:ind w:hanging="0" w:left="0" w:right="0"/>
              <w:rPr>
                <w:rFonts w:ascii="Verdana" w:hAnsi="Verdana" w:cs="Verdana"/>
                <w:sz w:val="20"/>
                <w:szCs w:val="20"/>
              </w:rPr>
            </w:pPr>
            <w:r>
              <w:rPr>
                <w:rFonts w:cs="Verdana" w:ascii="Verdana" w:hAnsi="Verdana"/>
                <w:sz w:val="20"/>
                <w:szCs w:val="20"/>
              </w:rPr>
            </w:r>
          </w:p>
          <w:p>
            <w:pPr>
              <w:pStyle w:val="Normal"/>
              <w:widowControl w:val="false"/>
              <w:spacing w:lineRule="auto" w:line="276" w:before="0" w:after="0"/>
              <w:ind w:hanging="0" w:left="0" w:right="0"/>
              <w:rPr>
                <w:rFonts w:ascii="Verdana" w:hAnsi="Verdana" w:cs="Verdana"/>
                <w:sz w:val="20"/>
                <w:szCs w:val="20"/>
              </w:rPr>
            </w:pPr>
            <w:r>
              <w:rPr>
                <w:rFonts w:cs="Verdana" w:ascii="Verdana" w:hAnsi="Verdana"/>
                <w:sz w:val="20"/>
                <w:szCs w:val="20"/>
              </w:rPr>
            </w:r>
          </w:p>
        </w:tc>
      </w:tr>
    </w:tbl>
    <w:p>
      <w:pPr>
        <w:pStyle w:val="Normal"/>
        <w:spacing w:lineRule="auto" w:line="276" w:before="0" w:after="0"/>
        <w:ind w:hanging="0" w:left="0" w:right="0"/>
        <w:rPr>
          <w:rFonts w:ascii="Verdana" w:hAnsi="Verdana"/>
          <w:sz w:val="20"/>
          <w:szCs w:val="20"/>
        </w:rPr>
      </w:pPr>
      <w:r>
        <w:rPr>
          <w:rFonts w:ascii="Verdana" w:hAnsi="Verdana"/>
          <w:sz w:val="20"/>
          <w:szCs w:val="20"/>
        </w:rPr>
      </w:r>
    </w:p>
    <w:sectPr>
      <w:headerReference w:type="default" r:id="rId3"/>
      <w:footerReference w:type="default" r:id="rId4"/>
      <w:type w:val="nextPage"/>
      <w:pgSz w:w="11906" w:h="16838"/>
      <w:pgMar w:left="1701" w:right="1134" w:gutter="0" w:header="284" w:top="1843" w:footer="250" w:bottom="758"/>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Arial">
    <w:charset w:val="00"/>
    <w:family w:val="roman"/>
    <w:pitch w:val="variable"/>
  </w:font>
  <w:font w:name="Calibri">
    <w:charset w:val="00"/>
    <w:family w:val="roman"/>
    <w:pitch w:val="variable"/>
  </w:font>
  <w:font w:name="Symbol">
    <w:charset w:val="00"/>
    <w:family w:val="roman"/>
    <w:pitch w:val="variable"/>
  </w:font>
  <w:font w:name="Verdana">
    <w:charset w:val="00"/>
    <w:family w:val="roman"/>
    <w:pitch w:val="variable"/>
  </w:font>
  <w:font w:name="Courier New">
    <w:charset w:val="00"/>
    <w:family w:val="roman"/>
    <w:pitch w:val="variable"/>
  </w:font>
  <w:font w:name="Wingdings">
    <w:charset w:val="00"/>
    <w:family w:val="roman"/>
    <w:pitch w:val="variable"/>
  </w:font>
  <w:font w:name="Tahoma">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Arial Narrow">
    <w:charset w:val="00"/>
    <w:family w:val="roman"/>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cs="Arial"/>
        <w:b/>
        <w:sz w:val="16"/>
        <w:szCs w:val="16"/>
      </w:rPr>
    </w:pPr>
    <w:r>
      <w:rPr>
        <w:rFonts w:cs="Arial" w:ascii="Arial" w:hAnsi="Arial"/>
        <w:b/>
        <w:sz w:val="16"/>
        <w:szCs w:val="16"/>
      </w:rPr>
      <w:t>Praça Vicente Glazar nº 159, Centro, São Gabriel da Palha, ES. Cep. 29.780-000.</w:t>
    </w:r>
  </w:p>
  <w:p>
    <w:pPr>
      <w:pStyle w:val="Header"/>
      <w:jc w:val="center"/>
      <w:rPr>
        <w:rFonts w:ascii="Arial" w:hAnsi="Arial" w:cs="Arial"/>
        <w:b/>
        <w:sz w:val="16"/>
        <w:szCs w:val="16"/>
      </w:rPr>
    </w:pPr>
    <w:r>
      <w:rPr>
        <w:rFonts w:cs="Arial" w:ascii="Arial" w:hAnsi="Arial"/>
        <w:b/>
        <w:sz w:val="16"/>
        <w:szCs w:val="16"/>
      </w:rPr>
      <w:t>Telefax 0(xx) 27 3727-1366.</w:t>
    </w:r>
  </w:p>
  <w:p>
    <w:pPr>
      <w:pStyle w:val="Header"/>
      <w:jc w:val="center"/>
      <w:rPr/>
    </w:pPr>
    <w:hyperlink r:id="rId1">
      <w:r>
        <w:rPr>
          <w:rStyle w:val="Hyperlink"/>
          <w:rFonts w:cs="Arial" w:ascii="Arial" w:hAnsi="Arial"/>
          <w:b/>
          <w:sz w:val="16"/>
          <w:szCs w:val="16"/>
        </w:rPr>
        <w:t>www.saogabriel.es.gov.br</w:t>
      </w:r>
    </w:hyperlink>
    <w:r>
      <w:rPr>
        <w:rFonts w:cs="Arial" w:ascii="Arial" w:hAnsi="Arial"/>
        <w:b/>
        <w:sz w:val="16"/>
        <w:szCs w:val="16"/>
      </w:rPr>
      <w:t xml:space="preserve">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cs="Verdana"/>
        <w:sz w:val="26"/>
        <w:szCs w:val="26"/>
      </w:rPr>
    </w:pPr>
    <w:r>
      <w:rPr>
        <w:rFonts w:cs="Verdana" w:ascii="Verdana" w:hAnsi="Verdana"/>
        <w:sz w:val="26"/>
        <w:szCs w:val="26"/>
      </w:rPr>
    </w:r>
  </w:p>
  <w:p>
    <w:pPr>
      <w:pStyle w:val="Normal"/>
      <w:jc w:val="center"/>
      <w:rPr>
        <w:rFonts w:ascii="Arial" w:hAnsi="Arial" w:cs="Arial"/>
        <w:b/>
      </w:rPr>
    </w:pPr>
    <w:r>
      <w:drawing>
        <wp:anchor behindDoc="1" distT="0" distB="0" distL="114935" distR="114935" simplePos="0" locked="0" layoutInCell="0" allowOverlap="1" relativeHeight="8">
          <wp:simplePos x="0" y="0"/>
          <wp:positionH relativeFrom="column">
            <wp:posOffset>-228600</wp:posOffset>
          </wp:positionH>
          <wp:positionV relativeFrom="paragraph">
            <wp:posOffset>-3810</wp:posOffset>
          </wp:positionV>
          <wp:extent cx="636270" cy="531495"/>
          <wp:effectExtent l="0" t="0" r="0" b="0"/>
          <wp:wrapSquare wrapText="bothSides"/>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36270" cy="531495"/>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Arial Narrow" w:hAnsi="Arial Narrow"/>
        <w:b/>
      </w:rPr>
      <w:t>Secretaria Municipal Administração</w:t>
    </w:r>
  </w:p>
  <w:p>
    <w:pPr>
      <w:pStyle w:val="Header"/>
      <w:rPr>
        <w:rFonts w:ascii="Arial" w:hAnsi="Arial" w:cs="Arial"/>
        <w:b/>
      </w:rPr>
    </w:pPr>
    <w:r>
      <w:rPr>
        <w:rFonts w:cs="Arial" w:ascii="Arial" w:hAnsi="Arial"/>
        <w:b/>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numFmt w:val="none"/>
      <w:suff w:val="nothing"/>
      <w:lvlText w:val="%3"/>
      <w:lvlJc w:val="left"/>
      <w:pPr>
        <w:tabs>
          <w:tab w:val="num" w:pos="0"/>
        </w:tabs>
        <w:ind w:left="0" w:hanging="0"/>
      </w:pPr>
    </w:lvl>
    <w:lvl w:ilvl="3">
      <w:start w:val="1"/>
      <w:numFmt w:val="none"/>
      <w:suff w:val="nothing"/>
      <w:lvlText w:val="%4"/>
      <w:lvlJc w:val="left"/>
      <w:pPr>
        <w:tabs>
          <w:tab w:val="num" w:pos="0"/>
        </w:tabs>
        <w:ind w:left="0" w:hanging="0"/>
      </w:pPr>
    </w:lvl>
    <w:lvl w:ilvl="4">
      <w:start w:val="1"/>
      <w:numFmt w:val="none"/>
      <w:suff w:val="nothing"/>
      <w:lvlText w:val="%5"/>
      <w:lvlJc w:val="left"/>
      <w:pPr>
        <w:tabs>
          <w:tab w:val="num" w:pos="0"/>
        </w:tabs>
        <w:ind w:left="0" w:hanging="0"/>
      </w:pPr>
    </w:lvl>
    <w:lvl w:ilvl="5">
      <w:start w:val="1"/>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abstractNum w:abstractNumId="2">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5"/>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9"/>
      <w:lvlJc w:val="left"/>
      <w:pPr>
        <w:tabs>
          <w:tab w:val="num" w:pos="0"/>
        </w:tabs>
        <w:ind w:left="0" w:hanging="0"/>
      </w:pPr>
      <w:rPr/>
    </w:lvl>
  </w:abstractNum>
  <w:abstractNum w:abstractNumId="3">
    <w:lvl w:ilvl="0">
      <w:start w:val="1"/>
      <w:numFmt w:val="lowerLetter"/>
      <w:lvlText w:val="%1."/>
      <w:lvlJc w:val="left"/>
      <w:pPr>
        <w:tabs>
          <w:tab w:val="num" w:pos="0"/>
        </w:tabs>
        <w:ind w:left="0" w:hanging="0"/>
      </w:pPr>
      <w:rPr>
        <w:sz w:val="24"/>
        <w:i w:val="false"/>
        <w:b/>
        <w:szCs w:val="24"/>
        <w:rFonts w:ascii="Arial" w:hAnsi="Arial" w:cs="Arial"/>
        <w:color w:val="000000"/>
      </w:rPr>
    </w:lvl>
    <w:lvl w:ilvl="1">
      <w:start w:val="1"/>
      <w:numFmt w:val="bullet"/>
      <w:lvlText w:val=""/>
      <w:lvlJc w:val="left"/>
      <w:pPr>
        <w:tabs>
          <w:tab w:val="num" w:pos="1785"/>
        </w:tabs>
        <w:ind w:left="1785" w:hanging="360"/>
      </w:pPr>
      <w:rPr>
        <w:rFonts w:ascii="Symbol" w:hAnsi="Symbol" w:cs="Symbol" w:hint="default"/>
      </w:rPr>
    </w:lvl>
    <w:lvl w:ilvl="2">
      <w:start w:val="1"/>
      <w:numFmt w:val="lowerLetter"/>
      <w:lvlText w:val="%2.%3."/>
      <w:lvlJc w:val="left"/>
      <w:pPr>
        <w:tabs>
          <w:tab w:val="num" w:pos="0"/>
        </w:tabs>
        <w:ind w:left="0" w:hanging="0"/>
      </w:pPr>
      <w:rPr>
        <w:sz w:val="20"/>
        <w:i w:val="false"/>
        <w:b/>
        <w:szCs w:val="20"/>
        <w:rFonts w:ascii="Arial" w:hAnsi="Arial" w:cs="Arial"/>
        <w:color w:val="000000"/>
      </w:rPr>
    </w:lvl>
    <w:lvl w:ilvl="3">
      <w:start w:val="1"/>
      <w:numFmt w:val="decimal"/>
      <w:lvlText w:val="%3.%4."/>
      <w:lvlJc w:val="left"/>
      <w:pPr>
        <w:tabs>
          <w:tab w:val="num" w:pos="3225"/>
        </w:tabs>
        <w:ind w:left="3225" w:hanging="360"/>
      </w:pPr>
      <w:rPr/>
    </w:lvl>
    <w:lvl w:ilvl="4">
      <w:start w:val="1"/>
      <w:numFmt w:val="lowerLetter"/>
      <w:lvlText w:val="%4.%5."/>
      <w:lvlJc w:val="left"/>
      <w:pPr>
        <w:tabs>
          <w:tab w:val="num" w:pos="3945"/>
        </w:tabs>
        <w:ind w:left="3945" w:hanging="360"/>
      </w:pPr>
      <w:rPr/>
    </w:lvl>
    <w:lvl w:ilvl="5">
      <w:start w:val="1"/>
      <w:numFmt w:val="lowerRoman"/>
      <w:lvlText w:val="%5.%6."/>
      <w:lvlJc w:val="right"/>
      <w:pPr>
        <w:tabs>
          <w:tab w:val="num" w:pos="4665"/>
        </w:tabs>
        <w:ind w:left="4665" w:hanging="180"/>
      </w:pPr>
      <w:rPr/>
    </w:lvl>
    <w:lvl w:ilvl="6">
      <w:start w:val="1"/>
      <w:numFmt w:val="decimal"/>
      <w:lvlText w:val="%6.%7."/>
      <w:lvlJc w:val="left"/>
      <w:pPr>
        <w:tabs>
          <w:tab w:val="num" w:pos="5385"/>
        </w:tabs>
        <w:ind w:left="5385" w:hanging="360"/>
      </w:pPr>
      <w:rPr/>
    </w:lvl>
    <w:lvl w:ilvl="7">
      <w:start w:val="1"/>
      <w:numFmt w:val="lowerLetter"/>
      <w:lvlText w:val="%7.%8."/>
      <w:lvlJc w:val="left"/>
      <w:pPr>
        <w:tabs>
          <w:tab w:val="num" w:pos="6105"/>
        </w:tabs>
        <w:ind w:left="6105" w:hanging="360"/>
      </w:pPr>
      <w:rPr/>
    </w:lvl>
    <w:lvl w:ilvl="8">
      <w:start w:val="1"/>
      <w:numFmt w:val="lowerRoman"/>
      <w:lvlText w:val="%8.%9."/>
      <w:lvlJc w:val="right"/>
      <w:pPr>
        <w:tabs>
          <w:tab w:val="num" w:pos="6825"/>
        </w:tabs>
        <w:ind w:left="6825" w:hanging="180"/>
      </w:pPr>
      <w:rPr/>
    </w:lvl>
  </w:abstractNum>
  <w:abstractNum w:abstractNumId="4">
    <w:lvl w:ilvl="0">
      <w:start w:val="1"/>
      <w:numFmt w:val="lowerLetter"/>
      <w:lvlText w:val="%1."/>
      <w:lvlJc w:val="left"/>
      <w:pPr>
        <w:tabs>
          <w:tab w:val="num" w:pos="0"/>
        </w:tabs>
        <w:ind w:left="0" w:hanging="0"/>
      </w:pPr>
      <w:rPr>
        <w:sz w:val="20"/>
        <w:i w:val="false"/>
        <w:b/>
        <w:szCs w:val="20"/>
        <w:rFonts w:ascii="Arial" w:hAnsi="Arial" w:cs="Arial"/>
        <w:color w:val="000000"/>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decimal"/>
      <w:lvlText w:val="%1."/>
      <w:lvlJc w:val="left"/>
      <w:pPr>
        <w:tabs>
          <w:tab w:val="num" w:pos="0"/>
        </w:tabs>
        <w:ind w:left="360" w:hanging="360"/>
      </w:pPr>
      <w:rPr>
        <w:sz w:val="20"/>
        <w:b/>
        <w:szCs w:val="20"/>
        <w:rFonts w:ascii="Arial" w:hAnsi="Arial" w:cs="Arial"/>
      </w:rPr>
    </w:lvl>
    <w:lvl w:ilvl="1">
      <w:start w:val="1"/>
      <w:numFmt w:val="decimal"/>
      <w:lvlText w:val="%1.%2."/>
      <w:lvlJc w:val="left"/>
      <w:pPr>
        <w:tabs>
          <w:tab w:val="num" w:pos="0"/>
        </w:tabs>
        <w:ind w:left="360" w:hanging="360"/>
      </w:pPr>
      <w:rPr>
        <w:sz w:val="20"/>
        <w:b/>
        <w:szCs w:val="20"/>
        <w:rFonts w:ascii="Arial" w:hAnsi="Arial" w:cs="Arial"/>
      </w:rPr>
    </w:lvl>
    <w:lvl w:ilvl="2">
      <w:start w:val="1"/>
      <w:numFmt w:val="decimal"/>
      <w:lvlText w:val="%1.%2.%3."/>
      <w:lvlJc w:val="left"/>
      <w:pPr>
        <w:tabs>
          <w:tab w:val="num" w:pos="0"/>
        </w:tabs>
        <w:ind w:left="720" w:hanging="720"/>
      </w:pPr>
      <w:rPr>
        <w:sz w:val="20"/>
        <w:b/>
        <w:szCs w:val="20"/>
        <w:rFonts w:ascii="Arial" w:hAnsi="Arial" w:cs="Arial"/>
      </w:rPr>
    </w:lvl>
    <w:lvl w:ilvl="3">
      <w:start w:val="1"/>
      <w:numFmt w:val="decimal"/>
      <w:lvlText w:val="%1.%2.%3.%4."/>
      <w:lvlJc w:val="left"/>
      <w:pPr>
        <w:tabs>
          <w:tab w:val="num" w:pos="0"/>
        </w:tabs>
        <w:ind w:left="720" w:hanging="720"/>
      </w:pPr>
      <w:rPr>
        <w:sz w:val="20"/>
        <w:b/>
        <w:szCs w:val="20"/>
        <w:rFonts w:ascii="Arial" w:hAnsi="Arial" w:cs="Arial"/>
      </w:rPr>
    </w:lvl>
    <w:lvl w:ilvl="4">
      <w:start w:val="1"/>
      <w:numFmt w:val="decimal"/>
      <w:lvlText w:val="%1.%2.%3.%4.%5."/>
      <w:lvlJc w:val="left"/>
      <w:pPr>
        <w:tabs>
          <w:tab w:val="num" w:pos="0"/>
        </w:tabs>
        <w:ind w:left="1080" w:hanging="1080"/>
      </w:pPr>
      <w:rPr>
        <w:sz w:val="20"/>
        <w:b/>
        <w:szCs w:val="20"/>
        <w:rFonts w:ascii="Arial" w:hAnsi="Arial" w:cs="Arial"/>
      </w:rPr>
    </w:lvl>
    <w:lvl w:ilvl="5">
      <w:start w:val="1"/>
      <w:numFmt w:val="decimal"/>
      <w:lvlText w:val="%1.%2.%3.%4.%5.%6."/>
      <w:lvlJc w:val="left"/>
      <w:pPr>
        <w:tabs>
          <w:tab w:val="num" w:pos="0"/>
        </w:tabs>
        <w:ind w:left="1080" w:hanging="1080"/>
      </w:pPr>
      <w:rPr>
        <w:sz w:val="20"/>
        <w:b/>
        <w:szCs w:val="20"/>
        <w:rFonts w:ascii="Arial" w:hAnsi="Arial" w:cs="Arial"/>
      </w:rPr>
    </w:lvl>
    <w:lvl w:ilvl="6">
      <w:start w:val="1"/>
      <w:numFmt w:val="decimal"/>
      <w:lvlText w:val="%1.%2.%3.%4.%5.%6.%7."/>
      <w:lvlJc w:val="left"/>
      <w:pPr>
        <w:tabs>
          <w:tab w:val="num" w:pos="0"/>
        </w:tabs>
        <w:ind w:left="1440" w:hanging="1440"/>
      </w:pPr>
      <w:rPr>
        <w:sz w:val="20"/>
        <w:b/>
        <w:szCs w:val="20"/>
        <w:rFonts w:ascii="Arial" w:hAnsi="Arial" w:cs="Arial"/>
      </w:rPr>
    </w:lvl>
    <w:lvl w:ilvl="7">
      <w:start w:val="1"/>
      <w:numFmt w:val="decimal"/>
      <w:lvlText w:val="%1.%2.%3.%4.%5.%6.%7.%8."/>
      <w:lvlJc w:val="left"/>
      <w:pPr>
        <w:tabs>
          <w:tab w:val="num" w:pos="0"/>
        </w:tabs>
        <w:ind w:left="1440" w:hanging="1440"/>
      </w:pPr>
      <w:rPr>
        <w:sz w:val="20"/>
        <w:b/>
        <w:szCs w:val="20"/>
        <w:rFonts w:ascii="Arial" w:hAnsi="Arial" w:cs="Arial"/>
      </w:rPr>
    </w:lvl>
    <w:lvl w:ilvl="8">
      <w:start w:val="1"/>
      <w:numFmt w:val="decimal"/>
      <w:lvlText w:val="%1.%2.%3.%4.%5.%6.%7.%8.%9."/>
      <w:lvlJc w:val="left"/>
      <w:pPr>
        <w:tabs>
          <w:tab w:val="num" w:pos="0"/>
        </w:tabs>
        <w:ind w:left="1800" w:hanging="1800"/>
      </w:pPr>
      <w:rPr>
        <w:sz w:val="20"/>
        <w:b/>
        <w:szCs w:val="20"/>
        <w:rFonts w:ascii="Arial" w:hAnsi="Arial" w:cs="Arial"/>
      </w:rPr>
    </w:lvl>
  </w:abstractNum>
  <w:abstractNum w:abstractNumI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szCs w:val="20"/>
        <w:bCs/>
        <w:rFonts w:ascii="Verdana" w:hAnsi="Verdana" w:cs="Verdana"/>
        <w:color w:val="000000"/>
      </w:rPr>
    </w:lvl>
    <w:lvl w:ilvl="2">
      <w:start w:val="1"/>
      <w:numFmt w:val="decimal"/>
      <w:lvlText w:val="%1.%2.%3."/>
      <w:lvlJc w:val="left"/>
      <w:pPr>
        <w:tabs>
          <w:tab w:val="num" w:pos="0"/>
        </w:tabs>
        <w:ind w:left="3198" w:hanging="504"/>
      </w:pPr>
      <w:rPr>
        <w:dstrike w:val="false"/>
        <w:strike w:val="false"/>
        <w:sz w:val="20"/>
        <w:i w:val="false"/>
        <w:b w:val="false"/>
        <w:szCs w:val="20"/>
        <w:rFonts w:ascii="Verdana" w:hAnsi="Verdana" w:cs="Arial"/>
        <w:color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lang w:val="pt-BR" w:eastAsia="pt-BR" w:bidi="ar-SA"/>
      </w:rPr>
    </w:rPrDefault>
    <w:pPrDefault>
      <w:pPr>
        <w:suppressAutoHyphens w:val="true"/>
      </w:pPr>
    </w:pPrDefault>
  </w:docDefaults>
  <w:style w:type="paragraph" w:styleId="Normal">
    <w:name w:val="Normal"/>
    <w:qFormat/>
    <w:pPr>
      <w:widowControl/>
      <w:suppressAutoHyphens w:val="true"/>
      <w:kinsoku w:val="true"/>
      <w:overflowPunct w:val="true"/>
      <w:autoSpaceDE w:val="true"/>
      <w:bidi w:val="0"/>
      <w:spacing w:before="0" w:after="0"/>
      <w:jc w:val="left"/>
      <w:textAlignment w:val="baseline"/>
    </w:pPr>
    <w:rPr>
      <w:rFonts w:ascii="Times New Roman" w:hAnsi="Times New Roman" w:eastAsia="Times New Roman" w:cs="Times New Roman"/>
      <w:color w:val="auto"/>
      <w:kern w:val="0"/>
      <w:sz w:val="20"/>
      <w:szCs w:val="20"/>
      <w:lang w:val="pt-BR" w:eastAsia="zh-CN" w:bidi="ar-SA"/>
    </w:rPr>
  </w:style>
  <w:style w:type="paragraph" w:styleId="Heading1">
    <w:name w:val="Heading 1"/>
    <w:basedOn w:val="Normal"/>
    <w:next w:val="Normal"/>
    <w:qFormat/>
    <w:pPr>
      <w:keepNext w:val="true"/>
      <w:numPr>
        <w:ilvl w:val="0"/>
        <w:numId w:val="2"/>
      </w:numPr>
      <w:overflowPunct w:val="false"/>
      <w:jc w:val="both"/>
      <w:textAlignment w:val="auto"/>
      <w:outlineLvl w:val="0"/>
    </w:pPr>
    <w:rPr>
      <w:sz w:val="24"/>
    </w:rPr>
  </w:style>
  <w:style w:type="paragraph" w:styleId="Heading2">
    <w:name w:val="Heading 2"/>
    <w:basedOn w:val="Normal"/>
    <w:next w:val="Normal"/>
    <w:qFormat/>
    <w:pPr>
      <w:keepNext w:val="true"/>
      <w:numPr>
        <w:ilvl w:val="1"/>
        <w:numId w:val="2"/>
      </w:numPr>
      <w:spacing w:before="240" w:after="60"/>
      <w:outlineLvl w:val="1"/>
    </w:pPr>
    <w:rPr>
      <w:rFonts w:ascii="Cambria" w:hAnsi="Cambria" w:cs="Cambria"/>
      <w:b/>
      <w:bCs/>
      <w:i/>
      <w:iCs/>
      <w:sz w:val="28"/>
      <w:szCs w:val="28"/>
    </w:rPr>
  </w:style>
  <w:style w:type="paragraph" w:styleId="Heading3">
    <w:name w:val="Heading 3"/>
    <w:basedOn w:val="Normal"/>
    <w:next w:val="Normal"/>
    <w:qFormat/>
    <w:pPr>
      <w:keepNext w:val="true"/>
      <w:numPr>
        <w:ilvl w:val="2"/>
        <w:numId w:val="2"/>
      </w:numPr>
      <w:tabs>
        <w:tab w:val="clear" w:pos="708"/>
        <w:tab w:val="left" w:pos="-414" w:leader="none"/>
        <w:tab w:val="left" w:pos="0" w:leader="none"/>
        <w:tab w:val="left" w:pos="306" w:leader="none"/>
        <w:tab w:val="left" w:pos="1026" w:leader="none"/>
        <w:tab w:val="left" w:pos="1530" w:leader="none"/>
        <w:tab w:val="left" w:pos="2262" w:leader="none"/>
        <w:tab w:val="left" w:pos="3000" w:leader="none"/>
        <w:tab w:val="left" w:pos="6066" w:leader="none"/>
        <w:tab w:val="left" w:pos="6786" w:leader="none"/>
        <w:tab w:val="left" w:pos="7506" w:leader="none"/>
        <w:tab w:val="left" w:pos="8226" w:leader="none"/>
        <w:tab w:val="left" w:pos="8946" w:leader="none"/>
        <w:tab w:val="left" w:pos="9666" w:leader="none"/>
      </w:tabs>
      <w:jc w:val="both"/>
      <w:outlineLvl w:val="2"/>
    </w:pPr>
    <w:rPr>
      <w:rFonts w:ascii="Arial" w:hAnsi="Arial" w:cs="Arial"/>
      <w:sz w:val="24"/>
    </w:rPr>
  </w:style>
  <w:style w:type="paragraph" w:styleId="Heading4">
    <w:name w:val="Heading 4"/>
    <w:basedOn w:val="Normal"/>
    <w:next w:val="Normal"/>
    <w:qFormat/>
    <w:pPr>
      <w:keepNext w:val="true"/>
      <w:numPr>
        <w:ilvl w:val="3"/>
        <w:numId w:val="2"/>
      </w:numPr>
      <w:overflowPunct w:val="false"/>
      <w:spacing w:before="240" w:after="60"/>
      <w:textAlignment w:val="auto"/>
      <w:outlineLvl w:val="3"/>
    </w:pPr>
    <w:rPr>
      <w:b/>
      <w:bCs/>
      <w:sz w:val="28"/>
      <w:szCs w:val="28"/>
    </w:rPr>
  </w:style>
  <w:style w:type="paragraph" w:styleId="Heading6">
    <w:name w:val="Heading 6"/>
    <w:basedOn w:val="Normal"/>
    <w:next w:val="Normal"/>
    <w:qFormat/>
    <w:pPr>
      <w:numPr>
        <w:ilvl w:val="5"/>
        <w:numId w:val="2"/>
      </w:numPr>
      <w:spacing w:before="240" w:after="60"/>
      <w:outlineLvl w:val="5"/>
    </w:pPr>
    <w:rPr>
      <w:b/>
      <w:bCs/>
      <w:sz w:val="22"/>
      <w:szCs w:val="22"/>
    </w:rPr>
  </w:style>
  <w:style w:type="paragraph" w:styleId="Heading7">
    <w:name w:val="Heading 7"/>
    <w:basedOn w:val="Normal"/>
    <w:next w:val="Normal"/>
    <w:qFormat/>
    <w:pPr>
      <w:numPr>
        <w:ilvl w:val="6"/>
        <w:numId w:val="2"/>
      </w:numPr>
      <w:spacing w:before="240" w:after="60"/>
      <w:outlineLvl w:val="6"/>
    </w:pPr>
    <w:rPr>
      <w:rFonts w:ascii="Calibri" w:hAnsi="Calibri" w:cs="Calibri"/>
      <w:sz w:val="24"/>
      <w:szCs w:val="24"/>
    </w:rPr>
  </w:style>
  <w:style w:type="paragraph" w:styleId="Heading8">
    <w:name w:val="Heading 8"/>
    <w:basedOn w:val="Normal"/>
    <w:next w:val="Normal"/>
    <w:qFormat/>
    <w:pPr>
      <w:numPr>
        <w:ilvl w:val="7"/>
        <w:numId w:val="2"/>
      </w:numPr>
      <w:spacing w:before="240" w:after="60"/>
      <w:outlineLvl w:val="7"/>
    </w:pPr>
    <w:rPr>
      <w:rFonts w:ascii="Calibri" w:hAnsi="Calibri" w:cs="Calibri"/>
      <w:i/>
      <w:iCs/>
      <w:sz w:val="24"/>
      <w:szCs w:val="24"/>
    </w:rPr>
  </w:style>
  <w:style w:type="character" w:styleId="DefaultParagraphFont">
    <w:name w:val="Default Paragraph Font"/>
    <w:qFormat/>
    <w:rPr/>
  </w:style>
  <w:style w:type="character" w:styleId="WW8Num2z0">
    <w:name w:val="WW8Num2z0"/>
    <w:qFormat/>
    <w:rPr>
      <w:rFonts w:ascii="Arial" w:hAnsi="Arial" w:eastAsia="Batang;바탕" w:cs="Arial"/>
      <w:sz w:val="20"/>
      <w:szCs w:val="20"/>
    </w:rPr>
  </w:style>
  <w:style w:type="character" w:styleId="WW8Num3z0">
    <w:name w:val="WW8Num3z0"/>
    <w:qFormat/>
    <w:rPr>
      <w:rFonts w:ascii="Arial" w:hAnsi="Arial" w:cs="Arial"/>
      <w:b/>
      <w:i w:val="false"/>
      <w:color w:val="000000"/>
      <w:sz w:val="24"/>
      <w:szCs w:val="24"/>
    </w:rPr>
  </w:style>
  <w:style w:type="character" w:styleId="WW8Num3z1">
    <w:name w:val="WW8Num3z1"/>
    <w:qFormat/>
    <w:rPr>
      <w:rFonts w:ascii="Symbol" w:hAnsi="Symbol" w:cs="Symbol"/>
    </w:rPr>
  </w:style>
  <w:style w:type="character" w:styleId="WW8Num3z2">
    <w:name w:val="WW8Num3z2"/>
    <w:qFormat/>
    <w:rPr>
      <w:rFonts w:ascii="Arial" w:hAnsi="Arial" w:cs="Arial"/>
      <w:b/>
      <w:i w:val="false"/>
      <w:color w:val="000000"/>
      <w:sz w:val="20"/>
      <w:szCs w:val="20"/>
    </w:rPr>
  </w:style>
  <w:style w:type="character" w:styleId="WW8Num4z0">
    <w:name w:val="WW8Num4z0"/>
    <w:qFormat/>
    <w:rPr>
      <w:rFonts w:ascii="Arial" w:hAnsi="Arial" w:cs="Arial"/>
      <w:b/>
      <w:i w:val="false"/>
      <w:color w:val="000000"/>
      <w:sz w:val="20"/>
      <w:szCs w:val="20"/>
    </w:rPr>
  </w:style>
  <w:style w:type="character" w:styleId="WW8Num5z0">
    <w:name w:val="WW8Num5z0"/>
    <w:qFormat/>
    <w:rPr>
      <w:rFonts w:ascii="Arial" w:hAnsi="Arial" w:cs="Arial"/>
      <w:b/>
      <w:sz w:val="20"/>
      <w:szCs w:val="20"/>
    </w:rPr>
  </w:style>
  <w:style w:type="character" w:styleId="WW8Num6z0">
    <w:name w:val="WW8Num6z0"/>
    <w:qFormat/>
    <w:rPr>
      <w:rFonts w:ascii="Arial" w:hAnsi="Arial" w:cs="Arial"/>
      <w:b/>
      <w:i w:val="false"/>
      <w:spacing w:val="0"/>
      <w:kern w:val="2"/>
      <w:position w:val="0"/>
      <w:sz w:val="20"/>
      <w:sz w:val="20"/>
      <w:szCs w:val="20"/>
      <w:vertAlign w:val="baseline"/>
    </w:rPr>
  </w:style>
  <w:style w:type="character" w:styleId="WW8Num7z0">
    <w:name w:val="WW8Num7z0"/>
    <w:qFormat/>
    <w:rPr>
      <w:rFonts w:ascii="Arial" w:hAnsi="Arial" w:cs="Arial"/>
      <w:b/>
      <w:i w:val="false"/>
      <w:spacing w:val="0"/>
      <w:kern w:val="2"/>
      <w:position w:val="0"/>
      <w:sz w:val="20"/>
      <w:sz w:val="20"/>
      <w:szCs w:val="20"/>
      <w:vertAlign w:val="baseline"/>
    </w:rPr>
  </w:style>
  <w:style w:type="character" w:styleId="WW8Num8z0">
    <w:name w:val="WW8Num8z0"/>
    <w:qFormat/>
    <w:rPr>
      <w:rFonts w:ascii="Arial" w:hAnsi="Arial" w:eastAsia="Batang;바탕" w:cs="Arial"/>
      <w:b/>
      <w:sz w:val="20"/>
      <w:szCs w:val="20"/>
    </w:rPr>
  </w:style>
  <w:style w:type="character" w:styleId="WW8Num9z0">
    <w:name w:val="WW8Num9z0"/>
    <w:qFormat/>
    <w:rPr>
      <w:rFonts w:ascii="Arial" w:hAnsi="Arial" w:eastAsia="Batang;바탕" w:cs="Arial"/>
      <w:b/>
      <w:i w:val="false"/>
      <w:spacing w:val="0"/>
      <w:kern w:val="2"/>
      <w:position w:val="0"/>
      <w:sz w:val="20"/>
      <w:sz w:val="20"/>
      <w:szCs w:val="20"/>
      <w:vertAlign w:val="baseline"/>
    </w:rPr>
  </w:style>
  <w:style w:type="character" w:styleId="WW8Num10z0">
    <w:name w:val="WW8Num10z0"/>
    <w:qFormat/>
    <w:rPr>
      <w:b/>
    </w:rPr>
  </w:style>
  <w:style w:type="character" w:styleId="WW8Num10z1">
    <w:name w:val="WW8Num10z1"/>
    <w:qFormat/>
    <w:rPr>
      <w:rFonts w:ascii="Verdana" w:hAnsi="Verdana" w:cs="Verdana"/>
      <w:b/>
      <w:bCs/>
      <w:i w:val="false"/>
      <w:strike w:val="false"/>
      <w:dstrike w:val="false"/>
      <w:color w:val="000000"/>
      <w:sz w:val="20"/>
      <w:szCs w:val="20"/>
      <w:u w:val="none"/>
    </w:rPr>
  </w:style>
  <w:style w:type="character" w:styleId="WW8Num10z2">
    <w:name w:val="WW8Num10z2"/>
    <w:qFormat/>
    <w:rPr>
      <w:rFonts w:ascii="Verdana" w:hAnsi="Verdana" w:cs="Arial"/>
      <w:b w:val="false"/>
      <w:i w:val="false"/>
      <w:strike w:val="false"/>
      <w:dstrike w:val="false"/>
      <w:color w:val="000000"/>
      <w:sz w:val="20"/>
      <w:szCs w:val="20"/>
    </w:rPr>
  </w:style>
  <w:style w:type="character" w:styleId="WW8Num11z0">
    <w:name w:val="WW8Num11z0"/>
    <w:qFormat/>
    <w:rPr>
      <w:rFonts w:ascii="Verdana" w:hAnsi="Verdana" w:cs="Verdana"/>
    </w:rPr>
  </w:style>
  <w:style w:type="character" w:styleId="Fontepargpadro2">
    <w:name w:val="Fonte parág. padrão2"/>
    <w:qFormat/>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1">
    <w:name w:val="WW8Num5z1"/>
    <w:qFormat/>
    <w:rPr>
      <w:rFonts w:ascii="Symbol" w:hAnsi="Symbol" w:cs="Symbol"/>
    </w:rPr>
  </w:style>
  <w:style w:type="character" w:styleId="WW8Num5z2">
    <w:name w:val="WW8Num5z2"/>
    <w:qFormat/>
    <w:rPr>
      <w:rFonts w:ascii="Arial" w:hAnsi="Arial" w:cs="Arial"/>
      <w:b/>
      <w:i w:val="false"/>
      <w:color w:val="000000"/>
      <w:sz w:val="20"/>
      <w:szCs w:val="20"/>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WW8Num8z1">
    <w:name w:val="WW8Num8z1"/>
    <w:qFormat/>
    <w:rPr/>
  </w:style>
  <w:style w:type="character" w:styleId="WW8Num8z2">
    <w:name w:val="WW8Num8z2"/>
    <w:qFormat/>
    <w:rPr/>
  </w:style>
  <w:style w:type="character" w:styleId="WW8Num8z3">
    <w:name w:val="WW8Num8z3"/>
    <w:qFormat/>
    <w:rPr/>
  </w:style>
  <w:style w:type="character" w:styleId="WW8Num8z4">
    <w:name w:val="WW8Num8z4"/>
    <w:qFormat/>
    <w:rPr/>
  </w:style>
  <w:style w:type="character" w:styleId="WW8Num8z5">
    <w:name w:val="WW8Num8z5"/>
    <w:qFormat/>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WW8Num9z1">
    <w:name w:val="WW8Num9z1"/>
    <w:qFormat/>
    <w:rPr/>
  </w:style>
  <w:style w:type="character" w:styleId="WW8Num9z2">
    <w:name w:val="WW8Num9z2"/>
    <w:qFormat/>
    <w:rPr/>
  </w:style>
  <w:style w:type="character" w:styleId="WW8Num9z3">
    <w:name w:val="WW8Num9z3"/>
    <w:qFormat/>
    <w:rPr/>
  </w:style>
  <w:style w:type="character" w:styleId="WW8Num9z4">
    <w:name w:val="WW8Num9z4"/>
    <w:qFormat/>
    <w:rPr/>
  </w:style>
  <w:style w:type="character" w:styleId="WW8Num9z5">
    <w:name w:val="WW8Num9z5"/>
    <w:qFormat/>
    <w:rPr/>
  </w:style>
  <w:style w:type="character" w:styleId="WW8Num9z6">
    <w:name w:val="WW8Num9z6"/>
    <w:qFormat/>
    <w:rPr/>
  </w:style>
  <w:style w:type="character" w:styleId="WW8Num9z7">
    <w:name w:val="WW8Num9z7"/>
    <w:qFormat/>
    <w:rPr/>
  </w:style>
  <w:style w:type="character" w:styleId="WW8Num9z8">
    <w:name w:val="WW8Num9z8"/>
    <w:qFormat/>
    <w:rPr/>
  </w:style>
  <w:style w:type="character" w:styleId="WW8Num10z3">
    <w:name w:val="WW8Num10z3"/>
    <w:qFormat/>
    <w:rPr/>
  </w:style>
  <w:style w:type="character" w:styleId="WW8Num10z4">
    <w:name w:val="WW8Num10z4"/>
    <w:qFormat/>
    <w:rPr/>
  </w:style>
  <w:style w:type="character" w:styleId="WW8Num10z5">
    <w:name w:val="WW8Num10z5"/>
    <w:qFormat/>
    <w:rPr/>
  </w:style>
  <w:style w:type="character" w:styleId="WW8Num10z6">
    <w:name w:val="WW8Num10z6"/>
    <w:qFormat/>
    <w:rPr/>
  </w:style>
  <w:style w:type="character" w:styleId="WW8Num10z7">
    <w:name w:val="WW8Num10z7"/>
    <w:qFormat/>
    <w:rPr/>
  </w:style>
  <w:style w:type="character" w:styleId="WW8Num10z8">
    <w:name w:val="WW8Num10z8"/>
    <w:qFormat/>
    <w:rPr/>
  </w:style>
  <w:style w:type="character" w:styleId="WW8Num11z1">
    <w:name w:val="WW8Num11z1"/>
    <w:qFormat/>
    <w:rPr>
      <w:rFonts w:ascii="Courier New" w:hAnsi="Courier New" w:cs="Courier New"/>
    </w:rPr>
  </w:style>
  <w:style w:type="character" w:styleId="WW8Num11z2">
    <w:name w:val="WW8Num11z2"/>
    <w:qFormat/>
    <w:rPr>
      <w:rFonts w:ascii="Wingdings" w:hAnsi="Wingdings" w:cs="Wingdings"/>
    </w:rPr>
  </w:style>
  <w:style w:type="character" w:styleId="WW8Num12z0">
    <w:name w:val="WW8Num12z0"/>
    <w:qFormat/>
    <w:rPr>
      <w:rFonts w:ascii="Arial" w:hAnsi="Arial" w:cs="Arial"/>
      <w:b/>
      <w:i w:val="false"/>
      <w:spacing w:val="0"/>
      <w:kern w:val="2"/>
      <w:position w:val="0"/>
      <w:sz w:val="20"/>
      <w:sz w:val="20"/>
      <w:szCs w:val="20"/>
      <w:vertAlign w:val="baseline"/>
    </w:rPr>
  </w:style>
  <w:style w:type="character" w:styleId="WW8Num12z1">
    <w:name w:val="WW8Num12z1"/>
    <w:qFormat/>
    <w:rPr/>
  </w:style>
  <w:style w:type="character" w:styleId="WW8Num12z2">
    <w:name w:val="WW8Num12z2"/>
    <w:qFormat/>
    <w:rPr/>
  </w:style>
  <w:style w:type="character" w:styleId="WW8Num12z3">
    <w:name w:val="WW8Num12z3"/>
    <w:qFormat/>
    <w:rPr/>
  </w:style>
  <w:style w:type="character" w:styleId="WW8Num12z4">
    <w:name w:val="WW8Num12z4"/>
    <w:qFormat/>
    <w:rPr/>
  </w:style>
  <w:style w:type="character" w:styleId="WW8Num12z5">
    <w:name w:val="WW8Num12z5"/>
    <w:qFormat/>
    <w:rPr/>
  </w:style>
  <w:style w:type="character" w:styleId="WW8Num12z6">
    <w:name w:val="WW8Num12z6"/>
    <w:qFormat/>
    <w:rPr/>
  </w:style>
  <w:style w:type="character" w:styleId="WW8Num12z7">
    <w:name w:val="WW8Num12z7"/>
    <w:qFormat/>
    <w:rPr/>
  </w:style>
  <w:style w:type="character" w:styleId="WW8Num12z8">
    <w:name w:val="WW8Num12z8"/>
    <w:qFormat/>
    <w:rPr/>
  </w:style>
  <w:style w:type="character" w:styleId="Fontepargpadro1">
    <w:name w:val="Fonte parág. padrão1"/>
    <w:qFormat/>
    <w:rPr/>
  </w:style>
  <w:style w:type="character" w:styleId="PageNumber">
    <w:name w:val="Page Number"/>
    <w:basedOn w:val="Fontepargpadro1"/>
    <w:rPr/>
  </w:style>
  <w:style w:type="character" w:styleId="Ttulo1Char">
    <w:name w:val="Título 1 Char"/>
    <w:qFormat/>
    <w:rPr>
      <w:sz w:val="24"/>
    </w:rPr>
  </w:style>
  <w:style w:type="character" w:styleId="CabealhoChar">
    <w:name w:val="Cabeçalho Char"/>
    <w:basedOn w:val="Fontepargpadro1"/>
    <w:qFormat/>
    <w:rPr/>
  </w:style>
  <w:style w:type="character" w:styleId="InternetLink">
    <w:name w:val="Internet Link"/>
    <w:qFormat/>
    <w:rPr>
      <w:color w:val="0000FF"/>
      <w:u w:val="single"/>
    </w:rPr>
  </w:style>
  <w:style w:type="character" w:styleId="Ttulo8Char">
    <w:name w:val="Título 8 Char"/>
    <w:qFormat/>
    <w:rPr>
      <w:rFonts w:ascii="Calibri" w:hAnsi="Calibri" w:eastAsia="Times New Roman" w:cs="Times New Roman"/>
      <w:i/>
      <w:iCs/>
      <w:sz w:val="24"/>
      <w:szCs w:val="24"/>
    </w:rPr>
  </w:style>
  <w:style w:type="character" w:styleId="Ttulo6Char">
    <w:name w:val="Título 6 Char"/>
    <w:qFormat/>
    <w:rPr>
      <w:b/>
      <w:bCs/>
      <w:sz w:val="22"/>
      <w:szCs w:val="22"/>
    </w:rPr>
  </w:style>
  <w:style w:type="character" w:styleId="Ttulo2Char">
    <w:name w:val="Título 2 Char"/>
    <w:qFormat/>
    <w:rPr>
      <w:rFonts w:ascii="Cambria" w:hAnsi="Cambria" w:eastAsia="Times New Roman" w:cs="Times New Roman"/>
      <w:b/>
      <w:bCs/>
      <w:i/>
      <w:iCs/>
      <w:sz w:val="28"/>
      <w:szCs w:val="28"/>
    </w:rPr>
  </w:style>
  <w:style w:type="character" w:styleId="Ttulo4Char">
    <w:name w:val="Título 4 Char"/>
    <w:qFormat/>
    <w:rPr>
      <w:b/>
      <w:bCs/>
      <w:sz w:val="28"/>
      <w:szCs w:val="28"/>
    </w:rPr>
  </w:style>
  <w:style w:type="character" w:styleId="Corpodetexto3Char">
    <w:name w:val="Corpo de texto 3 Char"/>
    <w:qFormat/>
    <w:rPr>
      <w:rFonts w:ascii="Arial" w:hAnsi="Arial" w:cs="Arial"/>
      <w:sz w:val="22"/>
    </w:rPr>
  </w:style>
  <w:style w:type="character" w:styleId="CorpodetextoChar">
    <w:name w:val="Corpo de texto Char"/>
    <w:basedOn w:val="Fontepargpadro1"/>
    <w:qFormat/>
    <w:rPr/>
  </w:style>
  <w:style w:type="character" w:styleId="Corpodetexto2Char">
    <w:name w:val="Corpo de texto 2 Char"/>
    <w:qFormat/>
    <w:rPr>
      <w:rFonts w:ascii="Arial" w:hAnsi="Arial" w:cs="Arial"/>
      <w:b/>
      <w:sz w:val="22"/>
    </w:rPr>
  </w:style>
  <w:style w:type="character" w:styleId="Recuodecorpodetexto3Char">
    <w:name w:val="Recuo de corpo de texto 3 Char"/>
    <w:qFormat/>
    <w:rPr>
      <w:sz w:val="16"/>
      <w:szCs w:val="16"/>
    </w:rPr>
  </w:style>
  <w:style w:type="character" w:styleId="Refdecomentrio1">
    <w:name w:val="Ref. de comentário1"/>
    <w:qFormat/>
    <w:rPr>
      <w:sz w:val="16"/>
      <w:szCs w:val="16"/>
    </w:rPr>
  </w:style>
  <w:style w:type="character" w:styleId="TextodecomentrioChar">
    <w:name w:val="Texto de comentário Char"/>
    <w:qFormat/>
    <w:rPr/>
  </w:style>
  <w:style w:type="character" w:styleId="TextodebaloChar">
    <w:name w:val="Texto de balão Char"/>
    <w:qFormat/>
    <w:rPr>
      <w:rFonts w:ascii="Tahoma" w:hAnsi="Tahoma" w:cs="Tahoma"/>
      <w:sz w:val="16"/>
      <w:szCs w:val="16"/>
    </w:rPr>
  </w:style>
  <w:style w:type="character" w:styleId="AssuntodocomentrioChar">
    <w:name w:val="Assunto do comentário Char"/>
    <w:qFormat/>
    <w:rPr>
      <w:b/>
      <w:bCs/>
    </w:rPr>
  </w:style>
  <w:style w:type="character" w:styleId="Ttulo7Char">
    <w:name w:val="Título 7 Char"/>
    <w:qFormat/>
    <w:rPr>
      <w:rFonts w:ascii="Calibri" w:hAnsi="Calibri" w:eastAsia="Times New Roman" w:cs="Times New Roman"/>
      <w:sz w:val="24"/>
      <w:szCs w:val="24"/>
    </w:rPr>
  </w:style>
  <w:style w:type="character" w:styleId="RodapChar">
    <w:name w:val="Rodapé Char"/>
    <w:basedOn w:val="Fontepargpadro1"/>
    <w:qFormat/>
    <w:rPr/>
  </w:style>
  <w:style w:type="character" w:styleId="apple-converted-space">
    <w:name w:val="apple-converted-space"/>
    <w:basedOn w:val="Fontepargpadro1"/>
    <w:qFormat/>
    <w:rPr/>
  </w:style>
  <w:style w:type="character" w:styleId="Smbolosdenumerao">
    <w:name w:val="Símbolos de numeração"/>
    <w:qFormat/>
    <w:rPr/>
  </w:style>
  <w:style w:type="character" w:styleId="Strong">
    <w:name w:val="Strong"/>
    <w:qFormat/>
    <w:rPr>
      <w:b/>
      <w:bCs/>
    </w:rPr>
  </w:style>
  <w:style w:type="character" w:styleId="annotationreference">
    <w:name w:val="annotation reference"/>
    <w:qFormat/>
    <w:rPr>
      <w:sz w:val="16"/>
      <w:szCs w:val="16"/>
    </w:rPr>
  </w:style>
  <w:style w:type="character" w:styleId="TextodecomentrioChar1">
    <w:name w:val="Texto de comentário Char1"/>
    <w:qFormat/>
    <w:rPr>
      <w:lang w:eastAsia="zh-CN"/>
    </w:rPr>
  </w:style>
  <w:style w:type="character" w:styleId="Nivel2Char">
    <w:name w:val="Nivel 2 Char"/>
    <w:qFormat/>
    <w:rPr>
      <w:rFonts w:ascii="Arial" w:hAnsi="Arial" w:eastAsia="MS Mincho;ＭＳ 明朝" w:cs="Arial"/>
      <w:color w:val="000000"/>
    </w:rPr>
  </w:style>
  <w:style w:type="character" w:styleId="Nivel3Char">
    <w:name w:val="Nivel 3 Char"/>
    <w:qFormat/>
    <w:rPr>
      <w:rFonts w:ascii="Arial" w:hAnsi="Arial" w:eastAsia="MS Mincho;ＭＳ 明朝" w:cs="Arial"/>
      <w:color w:val="000000"/>
    </w:rPr>
  </w:style>
  <w:style w:type="character" w:styleId="InternetLink1">
    <w:name w:val="Internet Link1"/>
    <w:qFormat/>
    <w:rPr>
      <w:color w:val="000080"/>
      <w:u w:val="single"/>
    </w:rPr>
  </w:style>
  <w:style w:type="character" w:styleId="Marcadores">
    <w:name w:val="Marcadores"/>
    <w:qFormat/>
    <w:rPr>
      <w:rFonts w:ascii="OpenSymbol" w:hAnsi="OpenSymbol" w:eastAsia="OpenSymbol" w:cs="OpenSymbol"/>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tLeast" w:line="240"/>
      <w:jc w:val="both"/>
    </w:pPr>
    <w:rPr>
      <w:sz w:val="24"/>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Title">
    <w:name w:val="Title"/>
    <w:basedOn w:val="Normal"/>
    <w:next w:val="BodyText"/>
    <w:qFormat/>
    <w:pPr>
      <w:keepNext w:val="true"/>
      <w:spacing w:before="240" w:after="120"/>
    </w:pPr>
    <w:rPr>
      <w:rFonts w:ascii="Liberation Sans;Arial" w:hAnsi="Liberation Sans;Arial" w:eastAsia="Microsoft YaHei" w:cs="Arial"/>
      <w:sz w:val="28"/>
      <w:szCs w:val="28"/>
    </w:rPr>
  </w:style>
  <w:style w:type="paragraph" w:styleId="Ttulo2">
    <w:name w:val="Título2"/>
    <w:basedOn w:val="Normal"/>
    <w:next w:val="BodyText"/>
    <w:qFormat/>
    <w:pPr>
      <w:keepNext w:val="true"/>
      <w:spacing w:before="240" w:after="120"/>
    </w:pPr>
    <w:rPr>
      <w:rFonts w:ascii="Liberation Sans;Arial" w:hAnsi="Liberation Sans;Arial" w:eastAsia="Microsoft YaHei" w:cs="Arial"/>
      <w:sz w:val="28"/>
      <w:szCs w:val="28"/>
    </w:rPr>
  </w:style>
  <w:style w:type="paragraph" w:styleId="Ttulo1">
    <w:name w:val="Título1"/>
    <w:basedOn w:val="Normal"/>
    <w:next w:val="BodyText"/>
    <w:qFormat/>
    <w:pPr>
      <w:jc w:val="center"/>
    </w:pPr>
    <w:rPr>
      <w:rFonts w:ascii="Arial" w:hAnsi="Arial" w:cs="Arial"/>
      <w:b/>
      <w:sz w:val="22"/>
    </w:rPr>
  </w:style>
  <w:style w:type="paragraph" w:styleId="BodyText2">
    <w:name w:val="Body Text 2"/>
    <w:basedOn w:val="Normal"/>
    <w:qFormat/>
    <w:pPr>
      <w:widowControl w:val="false"/>
      <w:spacing w:lineRule="auto" w:line="360"/>
      <w:ind w:firstLine="239"/>
      <w:jc w:val="both"/>
    </w:pPr>
    <w:rPr>
      <w:sz w:val="22"/>
    </w:rPr>
  </w:style>
  <w:style w:type="paragraph" w:styleId="Corpodetexto31">
    <w:name w:val="Corpo de texto 31"/>
    <w:basedOn w:val="Normal"/>
    <w:qFormat/>
    <w:pPr>
      <w:tabs>
        <w:tab w:val="clear" w:pos="708"/>
        <w:tab w:val="left" w:pos="-414" w:leader="none"/>
        <w:tab w:val="left" w:pos="0" w:leader="none"/>
        <w:tab w:val="left" w:pos="306" w:leader="none"/>
        <w:tab w:val="left" w:pos="1026" w:leader="none"/>
        <w:tab w:val="left" w:pos="1530" w:leader="none"/>
        <w:tab w:val="left" w:pos="2262" w:leader="none"/>
        <w:tab w:val="left" w:pos="2664" w:leader="none"/>
        <w:tab w:val="left" w:pos="3228" w:leader="none"/>
        <w:tab w:val="left" w:pos="6066" w:leader="none"/>
        <w:tab w:val="left" w:pos="6786" w:leader="none"/>
        <w:tab w:val="left" w:pos="7506" w:leader="none"/>
        <w:tab w:val="left" w:pos="8226" w:leader="none"/>
        <w:tab w:val="left" w:pos="8946" w:leader="none"/>
        <w:tab w:val="left" w:pos="9666" w:leader="none"/>
      </w:tabs>
      <w:jc w:val="both"/>
    </w:pPr>
    <w:rPr>
      <w:rFonts w:ascii="Arial" w:hAnsi="Arial" w:cs="Arial"/>
      <w:sz w:val="22"/>
    </w:rPr>
  </w:style>
  <w:style w:type="paragraph" w:styleId="Corpodetexto22">
    <w:name w:val="Corpo de texto 22"/>
    <w:basedOn w:val="Normal"/>
    <w:qFormat/>
    <w:pPr>
      <w:tabs>
        <w:tab w:val="clear" w:pos="708"/>
        <w:tab w:val="left" w:pos="851" w:leader="none"/>
      </w:tabs>
      <w:jc w:val="both"/>
    </w:pPr>
    <w:rPr>
      <w:rFonts w:ascii="Arial" w:hAnsi="Arial" w:cs="Arial"/>
      <w:b/>
      <w:sz w:val="22"/>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Header">
    <w:name w:val="Header"/>
    <w:basedOn w:val="Normal"/>
    <w:pPr>
      <w:tabs>
        <w:tab w:val="clear" w:pos="708"/>
        <w:tab w:val="center" w:pos="4419" w:leader="none"/>
        <w:tab w:val="right" w:pos="8838" w:leader="none"/>
      </w:tabs>
    </w:pPr>
    <w:rPr/>
  </w:style>
  <w:style w:type="paragraph" w:styleId="Subtitle">
    <w:name w:val="Subtitle"/>
    <w:basedOn w:val="Normal"/>
    <w:next w:val="BodyText"/>
    <w:qFormat/>
    <w:pPr>
      <w:overflowPunct w:val="false"/>
      <w:ind w:firstLine="708"/>
      <w:jc w:val="center"/>
      <w:textAlignment w:val="auto"/>
    </w:pPr>
    <w:rPr>
      <w:smallCaps/>
      <w:shadow/>
      <w:sz w:val="36"/>
      <w:szCs w:val="24"/>
    </w:rPr>
  </w:style>
  <w:style w:type="paragraph" w:styleId="Footer">
    <w:name w:val="Footer"/>
    <w:basedOn w:val="Normal"/>
    <w:pPr>
      <w:tabs>
        <w:tab w:val="clear" w:pos="708"/>
        <w:tab w:val="center" w:pos="4419" w:leader="none"/>
        <w:tab w:val="right" w:pos="8838" w:leader="none"/>
      </w:tabs>
    </w:pPr>
    <w:rPr/>
  </w:style>
  <w:style w:type="paragraph" w:styleId="Corpodetexto1">
    <w:name w:val="Corpo de texto1"/>
    <w:basedOn w:val="Normal"/>
    <w:qFormat/>
    <w:pPr>
      <w:spacing w:before="0" w:after="120"/>
    </w:pPr>
    <w:rPr/>
  </w:style>
  <w:style w:type="paragraph" w:styleId="ListParagraph">
    <w:name w:val="List Paragraph"/>
    <w:basedOn w:val="Normal"/>
    <w:qFormat/>
    <w:pPr>
      <w:ind w:hanging="0" w:left="708"/>
    </w:pPr>
    <w:rPr/>
  </w:style>
  <w:style w:type="paragraph" w:styleId="Contedodatabela">
    <w:name w:val="Conteúdo da tabela"/>
    <w:basedOn w:val="Normal"/>
    <w:qFormat/>
    <w:pPr>
      <w:widowControl w:val="false"/>
      <w:suppressLineNumbers/>
      <w:overflowPunct w:val="false"/>
      <w:spacing w:before="0" w:after="120"/>
      <w:textAlignment w:val="auto"/>
    </w:pPr>
    <w:rPr>
      <w:rFonts w:eastAsia="Lucida Sans Unicode"/>
      <w:color w:val="000000"/>
      <w:sz w:val="24"/>
      <w:szCs w:val="24"/>
      <w:lang w:val="pt-PT"/>
    </w:rPr>
  </w:style>
  <w:style w:type="paragraph" w:styleId="Normal1">
    <w:name w:val="Normal1"/>
    <w:basedOn w:val="Normal"/>
    <w:qFormat/>
    <w:pPr>
      <w:widowControl w:val="false"/>
      <w:overflowPunct w:val="false"/>
      <w:textAlignment w:val="auto"/>
    </w:pPr>
    <w:rPr>
      <w:rFonts w:eastAsia="Lucida Sans Unicode"/>
      <w:color w:val="000000"/>
      <w:szCs w:val="24"/>
    </w:rPr>
  </w:style>
  <w:style w:type="paragraph" w:styleId="WW-Corpodetexto3">
    <w:name w:val="WW-Corpo de texto 3"/>
    <w:basedOn w:val="Normal"/>
    <w:qFormat/>
    <w:pPr>
      <w:widowControl w:val="false"/>
      <w:overflowPunct w:val="false"/>
      <w:spacing w:lineRule="auto" w:line="360"/>
      <w:jc w:val="both"/>
      <w:textAlignment w:val="auto"/>
    </w:pPr>
    <w:rPr>
      <w:rFonts w:ascii="Arial" w:hAnsi="Arial" w:eastAsia="Lucida Sans Unicode" w:cs="Arial"/>
      <w:color w:val="000000"/>
      <w:sz w:val="24"/>
      <w:szCs w:val="24"/>
      <w:lang w:val="pt-PT"/>
    </w:rPr>
  </w:style>
  <w:style w:type="paragraph" w:styleId="Ttulo41">
    <w:name w:val="Título 41"/>
    <w:basedOn w:val="Normal1"/>
    <w:next w:val="Normal1"/>
    <w:qFormat/>
    <w:pPr>
      <w:keepNext w:val="true"/>
      <w:tabs>
        <w:tab w:val="clear" w:pos="708"/>
        <w:tab w:val="left" w:pos="0" w:leader="none"/>
      </w:tabs>
    </w:pPr>
    <w:rPr>
      <w:b/>
      <w:sz w:val="22"/>
    </w:rPr>
  </w:style>
  <w:style w:type="paragraph" w:styleId="Ttulo91">
    <w:name w:val="Título 91"/>
    <w:basedOn w:val="Normal1"/>
    <w:next w:val="Normal1"/>
    <w:qFormat/>
    <w:pPr>
      <w:keepNext w:val="true"/>
      <w:tabs>
        <w:tab w:val="clear" w:pos="708"/>
        <w:tab w:val="left" w:pos="0" w:leader="none"/>
      </w:tabs>
      <w:ind w:firstLine="851"/>
      <w:jc w:val="both"/>
    </w:pPr>
    <w:rPr>
      <w:b/>
      <w:sz w:val="24"/>
    </w:rPr>
  </w:style>
  <w:style w:type="paragraph" w:styleId="Recuodecorpodetexto31">
    <w:name w:val="Recuo de corpo de texto 31"/>
    <w:basedOn w:val="Normal"/>
    <w:qFormat/>
    <w:pPr>
      <w:spacing w:before="0" w:after="120"/>
      <w:ind w:hanging="0" w:left="283"/>
    </w:pPr>
    <w:rPr>
      <w:sz w:val="16"/>
      <w:szCs w:val="16"/>
    </w:rPr>
  </w:style>
  <w:style w:type="paragraph" w:styleId="Corpodetexto21">
    <w:name w:val="Corpo de texto 21"/>
    <w:basedOn w:val="Normal"/>
    <w:qFormat/>
    <w:pPr>
      <w:overflowPunct w:val="false"/>
      <w:spacing w:lineRule="auto" w:line="480" w:before="0" w:after="120"/>
      <w:textAlignment w:val="auto"/>
    </w:pPr>
    <w:rPr>
      <w:kern w:val="2"/>
    </w:rPr>
  </w:style>
  <w:style w:type="paragraph" w:styleId="Default">
    <w:name w:val="Default"/>
    <w:qFormat/>
    <w:pPr>
      <w:widowControl/>
      <w:suppressAutoHyphens w:val="true"/>
      <w:kinsoku w:val="true"/>
      <w:overflowPunct w:val="true"/>
      <w:autoSpaceDE w:val="true"/>
      <w:bidi w:val="0"/>
      <w:spacing w:before="0" w:after="0"/>
      <w:jc w:val="left"/>
    </w:pPr>
    <w:rPr>
      <w:rFonts w:ascii="Times New Roman" w:hAnsi="Times New Roman" w:eastAsia="Times New Roman" w:cs="Times New Roman"/>
      <w:color w:val="000000"/>
      <w:kern w:val="2"/>
      <w:sz w:val="24"/>
      <w:szCs w:val="24"/>
      <w:lang w:val="pt-BR" w:eastAsia="zh-CN" w:bidi="ar-SA"/>
    </w:rPr>
  </w:style>
  <w:style w:type="paragraph" w:styleId="Standard">
    <w:name w:val="Standard"/>
    <w:qFormat/>
    <w:pPr>
      <w:widowControl w:val="false"/>
      <w:suppressAutoHyphens w:val="true"/>
      <w:kinsoku w:val="true"/>
      <w:overflowPunct w:val="true"/>
      <w:autoSpaceDE w:val="true"/>
      <w:bidi w:val="0"/>
      <w:spacing w:before="0" w:after="0"/>
      <w:jc w:val="left"/>
      <w:textAlignment w:val="baseline"/>
    </w:pPr>
    <w:rPr>
      <w:rFonts w:ascii="Times New Roman" w:hAnsi="Times New Roman" w:eastAsia="Arial Unicode MS" w:cs="Tahoma"/>
      <w:color w:val="auto"/>
      <w:kern w:val="2"/>
      <w:sz w:val="24"/>
      <w:szCs w:val="24"/>
      <w:lang w:val="pt-BR" w:eastAsia="zh-CN" w:bidi="hi-IN"/>
    </w:rPr>
  </w:style>
  <w:style w:type="paragraph" w:styleId="Textodecomentrio1">
    <w:name w:val="Texto de comentário1"/>
    <w:basedOn w:val="Normal"/>
    <w:qFormat/>
    <w:pPr>
      <w:overflowPunct w:val="false"/>
      <w:textAlignment w:val="auto"/>
    </w:pPr>
    <w:rPr/>
  </w:style>
  <w:style w:type="paragraph" w:styleId="BalloonText">
    <w:name w:val="Balloon Text"/>
    <w:basedOn w:val="Normal"/>
    <w:qFormat/>
    <w:pPr/>
    <w:rPr>
      <w:rFonts w:ascii="Tahoma" w:hAnsi="Tahoma" w:cs="Tahoma"/>
      <w:sz w:val="16"/>
      <w:szCs w:val="16"/>
    </w:rPr>
  </w:style>
  <w:style w:type="paragraph" w:styleId="annotationsubject">
    <w:name w:val="annotation subject"/>
    <w:basedOn w:val="Textodecomentrio1"/>
    <w:next w:val="Textodecomentrio1"/>
    <w:qFormat/>
    <w:pPr>
      <w:suppressAutoHyphens w:val="false"/>
      <w:overflowPunct w:val="true"/>
      <w:textAlignment w:val="baseline"/>
    </w:pPr>
    <w:rPr>
      <w:b/>
      <w:bCs/>
    </w:rPr>
  </w:style>
  <w:style w:type="paragraph" w:styleId="Ttulodetabela">
    <w:name w:val="Título de tabela"/>
    <w:basedOn w:val="Contedodatabela"/>
    <w:qFormat/>
    <w:pPr>
      <w:jc w:val="center"/>
    </w:pPr>
    <w:rPr>
      <w:b/>
      <w:bCs/>
    </w:rPr>
  </w:style>
  <w:style w:type="paragraph" w:styleId="AnnotationText">
    <w:name w:val="Annotation Text"/>
    <w:basedOn w:val="Normal"/>
    <w:pPr>
      <w:suppressAutoHyphens w:val="false"/>
      <w:overflowPunct w:val="false"/>
      <w:textAlignment w:val="auto"/>
    </w:pPr>
    <w:rPr/>
  </w:style>
  <w:style w:type="paragraph" w:styleId="Nivel01">
    <w:name w:val="Nivel 01"/>
    <w:basedOn w:val="Heading1"/>
    <w:next w:val="Normal"/>
    <w:qFormat/>
    <w:pPr>
      <w:keepLines/>
      <w:numPr>
        <w:ilvl w:val="0"/>
        <w:numId w:val="6"/>
      </w:numPr>
      <w:tabs>
        <w:tab w:val="clear" w:pos="708"/>
        <w:tab w:val="left" w:pos="567" w:leader="none"/>
      </w:tabs>
      <w:suppressAutoHyphens w:val="false"/>
      <w:spacing w:before="240" w:after="0"/>
      <w:ind w:hanging="0" w:left="0"/>
      <w:outlineLvl w:val="9"/>
    </w:pPr>
    <w:rPr>
      <w:rFonts w:ascii="Arial" w:hAnsi="Arial" w:eastAsia="MS Gothic;ＭＳ ゴシック" w:cs="Arial"/>
      <w:b/>
      <w:bCs/>
      <w:sz w:val="20"/>
    </w:rPr>
  </w:style>
  <w:style w:type="paragraph" w:styleId="Nivel2">
    <w:name w:val="Nivel 2"/>
    <w:basedOn w:val="Normal"/>
    <w:qFormat/>
    <w:pPr>
      <w:tabs>
        <w:tab w:val="clear" w:pos="708"/>
        <w:tab w:val="left" w:pos="0" w:leader="none"/>
      </w:tabs>
      <w:suppressAutoHyphens w:val="false"/>
      <w:overflowPunct w:val="false"/>
      <w:spacing w:lineRule="auto" w:line="276" w:before="120" w:after="120"/>
      <w:jc w:val="both"/>
      <w:textAlignment w:val="auto"/>
    </w:pPr>
    <w:rPr>
      <w:rFonts w:ascii="Arial" w:hAnsi="Arial" w:eastAsia="MS Mincho;ＭＳ 明朝" w:cs="Arial"/>
      <w:color w:val="000000"/>
    </w:rPr>
  </w:style>
  <w:style w:type="paragraph" w:styleId="Nivel3">
    <w:name w:val="Nivel 3"/>
    <w:basedOn w:val="Normal"/>
    <w:qFormat/>
    <w:pPr>
      <w:tabs>
        <w:tab w:val="clear" w:pos="708"/>
        <w:tab w:val="left" w:pos="0" w:leader="none"/>
      </w:tabs>
      <w:suppressAutoHyphens w:val="false"/>
      <w:overflowPunct w:val="false"/>
      <w:spacing w:lineRule="auto" w:line="276" w:before="120" w:after="120"/>
      <w:ind w:hanging="0" w:left="284"/>
      <w:jc w:val="both"/>
      <w:textAlignment w:val="auto"/>
    </w:pPr>
    <w:rPr>
      <w:rFonts w:ascii="Arial" w:hAnsi="Arial" w:eastAsia="MS Mincho;ＭＳ 明朝" w:cs="Arial"/>
      <w:color w:val="000000"/>
    </w:rPr>
  </w:style>
  <w:style w:type="paragraph" w:styleId="Nivel4">
    <w:name w:val="Nivel 4"/>
    <w:basedOn w:val="Nivel3"/>
    <w:qFormat/>
    <w:pPr>
      <w:ind w:hanging="0" w:left="567"/>
    </w:pPr>
    <w:rPr/>
  </w:style>
  <w:style w:type="paragraph" w:styleId="Nivel5">
    <w:name w:val="Nivel 5"/>
    <w:basedOn w:val="Nivel4"/>
    <w:qFormat/>
    <w:pPr>
      <w:ind w:hanging="0" w:left="851"/>
    </w:pPr>
    <w:rPr/>
  </w:style>
  <w:style w:type="paragraph" w:styleId="PargrafodaLista">
    <w:name w:val="Parágrafo da Lista"/>
    <w:basedOn w:val="Normal"/>
    <w:qFormat/>
    <w:pPr>
      <w:spacing w:lineRule="auto" w:line="276" w:before="0" w:after="200"/>
      <w:ind w:hanging="0" w:left="720"/>
      <w:contextualSpacing/>
    </w:pPr>
    <w:rPr>
      <w:rFonts w:ascii="Calibri" w:hAnsi="Calibri" w:eastAsia="Calibri" w:cs="Calibri"/>
      <w:sz w:val="22"/>
      <w:szCs w:val="22"/>
    </w:rPr>
  </w:style>
  <w:style w:type="numbering" w:styleId="Semlista">
    <w:name w:val="Sem lista"/>
    <w:qFormat/>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cp/lcp123.htm" TargetMode="External"/><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hyperlink" Target="http://www.saogabriel.es.gov.br/" TargetMode="Externa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406</TotalTime>
  <Application>LibreOffice/24.2.6.2$Windows_X86_64 LibreOffice_project/ef66aa7e36a1bb8e65bfbc63aba53045a14d0871</Application>
  <AppVersion>15.0000</AppVersion>
  <Pages>9</Pages>
  <Words>3018</Words>
  <Characters>17507</Characters>
  <CharactersWithSpaces>20415</CharactersWithSpaces>
  <Paragraphs>154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2023-09-01T11:50:00Z</dcterms:created>
  <dc:creator>fabiano</dc:creator>
  <dc:description/>
  <dc:language>pt-BR</dc:language>
  <cp:lastModifiedBy/>
  <cp:lastPrinted>2024-09-26T17:30:51Z</cp:lastPrinted>
  <dcterms:modified xsi:type="dcterms:W3CDTF">2024-09-27T08:27:45Z</dcterms:modified>
  <cp:revision>18</cp:revision>
  <dc:subject/>
  <dc:title>E D I T A L</dc:title>
</cp:coreProperties>
</file>

<file path=docProps/custom.xml><?xml version="1.0" encoding="utf-8"?>
<Properties xmlns="http://schemas.openxmlformats.org/officeDocument/2006/custom-properties" xmlns:vt="http://schemas.openxmlformats.org/officeDocument/2006/docPropsVTypes"/>
</file>